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26" w:rsidRPr="00310222" w:rsidRDefault="00744E26">
      <w:pPr>
        <w:spacing w:before="4" w:line="160" w:lineRule="exact"/>
        <w:rPr>
          <w:szCs w:val="17"/>
          <w:lang w:val="id-ID"/>
        </w:rPr>
      </w:pPr>
    </w:p>
    <w:p w:rsidR="00744E26" w:rsidRDefault="00744E26" w:rsidP="00744E26">
      <w:pPr>
        <w:autoSpaceDE w:val="0"/>
        <w:autoSpaceDN w:val="0"/>
        <w:adjustRightInd w:val="0"/>
        <w:spacing w:line="276" w:lineRule="auto"/>
        <w:jc w:val="center"/>
        <w:rPr>
          <w:b/>
          <w:sz w:val="24"/>
          <w:szCs w:val="24"/>
        </w:rPr>
      </w:pPr>
      <w:r w:rsidRPr="001541ED">
        <w:rPr>
          <w:b/>
          <w:sz w:val="24"/>
          <w:szCs w:val="24"/>
        </w:rPr>
        <w:t xml:space="preserve">PENGARUH </w:t>
      </w:r>
      <w:r w:rsidRPr="00662492">
        <w:rPr>
          <w:b/>
          <w:i/>
          <w:sz w:val="24"/>
          <w:szCs w:val="24"/>
        </w:rPr>
        <w:t>CORPORATE SOCIAL RESPONSIBILITY</w:t>
      </w:r>
      <w:r w:rsidRPr="001541ED">
        <w:rPr>
          <w:b/>
          <w:sz w:val="24"/>
          <w:szCs w:val="24"/>
        </w:rPr>
        <w:t>, LIKUIDITAS</w:t>
      </w:r>
      <w:r>
        <w:rPr>
          <w:b/>
          <w:sz w:val="24"/>
          <w:szCs w:val="24"/>
        </w:rPr>
        <w:t xml:space="preserve">, DAN </w:t>
      </w:r>
      <w:r w:rsidRPr="00662492">
        <w:rPr>
          <w:b/>
          <w:i/>
          <w:sz w:val="24"/>
          <w:szCs w:val="24"/>
        </w:rPr>
        <w:t>LEVERAGE</w:t>
      </w:r>
      <w:r w:rsidRPr="001541ED">
        <w:rPr>
          <w:b/>
          <w:sz w:val="24"/>
          <w:szCs w:val="24"/>
        </w:rPr>
        <w:t xml:space="preserve"> TERHADAP </w:t>
      </w:r>
      <w:r>
        <w:rPr>
          <w:b/>
          <w:sz w:val="24"/>
          <w:szCs w:val="24"/>
        </w:rPr>
        <w:t>AGRE</w:t>
      </w:r>
      <w:r w:rsidRPr="00321016">
        <w:rPr>
          <w:b/>
          <w:sz w:val="24"/>
          <w:szCs w:val="24"/>
        </w:rPr>
        <w:t>SIVITAS PAJAK</w:t>
      </w:r>
    </w:p>
    <w:p w:rsidR="00744E26" w:rsidRPr="00FC4EF1" w:rsidRDefault="00744E26" w:rsidP="00744E26">
      <w:pPr>
        <w:jc w:val="center"/>
        <w:rPr>
          <w:lang w:val="id-ID"/>
        </w:rPr>
      </w:pPr>
    </w:p>
    <w:p w:rsidR="00744E26" w:rsidRDefault="00744E26" w:rsidP="00744E26">
      <w:pPr>
        <w:jc w:val="center"/>
        <w:rPr>
          <w:b/>
          <w:sz w:val="24"/>
          <w:szCs w:val="24"/>
          <w:lang w:val="id-ID"/>
        </w:rPr>
      </w:pPr>
      <w:r>
        <w:rPr>
          <w:b/>
          <w:sz w:val="24"/>
          <w:szCs w:val="24"/>
          <w:lang w:val="id-ID"/>
        </w:rPr>
        <w:t>Elok Kurniawati</w:t>
      </w:r>
    </w:p>
    <w:p w:rsidR="00744E26" w:rsidRPr="00A14D72" w:rsidRDefault="00744E26" w:rsidP="00744E26">
      <w:pPr>
        <w:jc w:val="center"/>
        <w:rPr>
          <w:i/>
          <w:lang w:val="id-ID"/>
        </w:rPr>
      </w:pPr>
      <w:r w:rsidRPr="00CF3B6A">
        <w:rPr>
          <w:i/>
          <w:lang w:val="id-ID"/>
        </w:rPr>
        <w:t xml:space="preserve">Email: </w:t>
      </w:r>
      <w:r w:rsidR="00A14D72" w:rsidRPr="00A14D72">
        <w:rPr>
          <w:i/>
          <w:color w:val="0070C0"/>
          <w:u w:val="single"/>
          <w:lang w:val="id-ID"/>
        </w:rPr>
        <w:t>elok.</w:t>
      </w:r>
      <w:r w:rsidR="00A14D72">
        <w:rPr>
          <w:rFonts w:eastAsiaTheme="majorEastAsia"/>
          <w:i/>
          <w:color w:val="0070C0"/>
          <w:u w:val="single"/>
          <w:lang w:val="id-ID"/>
        </w:rPr>
        <w:t>kurniawati</w:t>
      </w:r>
      <w:r w:rsidR="00A14D72" w:rsidRPr="00A14D72">
        <w:rPr>
          <w:rFonts w:eastAsiaTheme="majorEastAsia"/>
          <w:i/>
          <w:color w:val="0070C0"/>
          <w:u w:val="single"/>
          <w:lang w:val="id-ID"/>
        </w:rPr>
        <w:t>@mercubuana.ac.id</w:t>
      </w:r>
    </w:p>
    <w:p w:rsidR="00744E26" w:rsidRPr="00CF3B6A" w:rsidRDefault="00744E26" w:rsidP="00744E26">
      <w:pPr>
        <w:jc w:val="center"/>
        <w:rPr>
          <w:i/>
          <w:sz w:val="24"/>
          <w:szCs w:val="24"/>
          <w:lang w:val="id-ID"/>
        </w:rPr>
      </w:pPr>
      <w:r w:rsidRPr="00CF3B6A">
        <w:rPr>
          <w:i/>
          <w:sz w:val="24"/>
          <w:szCs w:val="24"/>
          <w:lang w:val="id-ID"/>
        </w:rPr>
        <w:t>Fakultas Ekonomi Dan Bisnis Universitas Mercu Buana</w:t>
      </w:r>
    </w:p>
    <w:p w:rsidR="00744E26" w:rsidRPr="00FC4EF1" w:rsidRDefault="00744E26" w:rsidP="00744E26">
      <w:pPr>
        <w:jc w:val="center"/>
        <w:rPr>
          <w:b/>
          <w:lang w:val="id-ID"/>
        </w:rPr>
      </w:pPr>
    </w:p>
    <w:p w:rsidR="00744E26" w:rsidRPr="00FC4EF1" w:rsidRDefault="00744E26" w:rsidP="00744E26">
      <w:pPr>
        <w:ind w:left="590" w:right="115"/>
        <w:jc w:val="center"/>
        <w:rPr>
          <w:i/>
          <w:sz w:val="24"/>
          <w:szCs w:val="24"/>
        </w:rPr>
      </w:pPr>
      <w:r w:rsidRPr="00FC4EF1">
        <w:rPr>
          <w:i/>
          <w:sz w:val="24"/>
          <w:szCs w:val="24"/>
        </w:rPr>
        <w:t>ABSTRACT</w:t>
      </w:r>
    </w:p>
    <w:p w:rsidR="00744E26" w:rsidRPr="00F05E02" w:rsidRDefault="00744E26" w:rsidP="00744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12121"/>
          <w:sz w:val="22"/>
          <w:szCs w:val="22"/>
          <w:lang w:eastAsia="id-ID"/>
        </w:rPr>
      </w:pPr>
      <w:r>
        <w:rPr>
          <w:color w:val="212121"/>
          <w:sz w:val="24"/>
          <w:szCs w:val="24"/>
          <w:lang w:val="id-ID" w:eastAsia="id-ID"/>
        </w:rPr>
        <w:tab/>
      </w:r>
      <w:r w:rsidRPr="00F05E02">
        <w:rPr>
          <w:color w:val="212121"/>
          <w:sz w:val="22"/>
          <w:szCs w:val="22"/>
          <w:lang w:eastAsia="id-ID"/>
        </w:rPr>
        <w:t>Tax aggressiveness is an action carried out with the aim of minimizing the amount of estimated tax costs. The act of tax aggressiveness is mostly carried out by large companies in Indonesia because taxes are considered as costs that have a significant effect on the company and have a direct impact on profitability.</w:t>
      </w:r>
    </w:p>
    <w:p w:rsidR="00744E26" w:rsidRPr="00F05E02" w:rsidRDefault="00744E26" w:rsidP="00744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12121"/>
          <w:sz w:val="22"/>
          <w:szCs w:val="22"/>
          <w:lang w:eastAsia="id-ID"/>
        </w:rPr>
      </w:pPr>
      <w:r w:rsidRPr="00F05E02">
        <w:rPr>
          <w:color w:val="212121"/>
          <w:sz w:val="22"/>
          <w:szCs w:val="22"/>
          <w:lang w:val="id-ID" w:eastAsia="id-ID"/>
        </w:rPr>
        <w:tab/>
      </w:r>
      <w:r w:rsidRPr="00F05E02">
        <w:rPr>
          <w:color w:val="212121"/>
          <w:sz w:val="22"/>
          <w:szCs w:val="22"/>
          <w:lang w:eastAsia="id-ID"/>
        </w:rPr>
        <w:t>The purpose of this study was to analyze the effect of corporate social responsibility, liquidity and leverage on tax aggressiveness in mining companies listed on the Indonesia Stock Exchange for the period 2014-2017.</w:t>
      </w:r>
    </w:p>
    <w:p w:rsidR="00744E26" w:rsidRPr="00F05E02" w:rsidRDefault="00744E26" w:rsidP="00744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12121"/>
          <w:sz w:val="22"/>
          <w:szCs w:val="22"/>
          <w:lang w:eastAsia="id-ID"/>
        </w:rPr>
      </w:pPr>
      <w:r w:rsidRPr="00F05E02">
        <w:rPr>
          <w:color w:val="212121"/>
          <w:sz w:val="22"/>
          <w:szCs w:val="22"/>
          <w:lang w:val="id-ID" w:eastAsia="id-ID"/>
        </w:rPr>
        <w:tab/>
      </w:r>
      <w:proofErr w:type="gramStart"/>
      <w:r w:rsidRPr="00F05E02">
        <w:rPr>
          <w:color w:val="212121"/>
          <w:sz w:val="22"/>
          <w:szCs w:val="22"/>
          <w:lang w:eastAsia="id-ID"/>
        </w:rPr>
        <w:t>Sampling using purposive sampling method.</w:t>
      </w:r>
      <w:proofErr w:type="gramEnd"/>
      <w:r w:rsidRPr="00F05E02">
        <w:rPr>
          <w:color w:val="212121"/>
          <w:sz w:val="22"/>
          <w:szCs w:val="22"/>
          <w:lang w:eastAsia="id-ID"/>
        </w:rPr>
        <w:t xml:space="preserve"> The method of analysis used in this study is multiple linear </w:t>
      </w:r>
      <w:proofErr w:type="gramStart"/>
      <w:r w:rsidRPr="00F05E02">
        <w:rPr>
          <w:color w:val="212121"/>
          <w:sz w:val="22"/>
          <w:szCs w:val="22"/>
          <w:lang w:eastAsia="id-ID"/>
        </w:rPr>
        <w:t>regression</w:t>
      </w:r>
      <w:proofErr w:type="gramEnd"/>
      <w:r w:rsidRPr="00F05E02">
        <w:rPr>
          <w:color w:val="212121"/>
          <w:sz w:val="22"/>
          <w:szCs w:val="22"/>
          <w:lang w:eastAsia="id-ID"/>
        </w:rPr>
        <w:t>.</w:t>
      </w:r>
    </w:p>
    <w:p w:rsidR="00744E26" w:rsidRPr="00F05E02" w:rsidRDefault="00744E26" w:rsidP="00744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212121"/>
          <w:sz w:val="22"/>
          <w:szCs w:val="22"/>
          <w:lang w:eastAsia="id-ID"/>
        </w:rPr>
      </w:pPr>
      <w:r w:rsidRPr="00F05E02">
        <w:rPr>
          <w:color w:val="212121"/>
          <w:sz w:val="22"/>
          <w:szCs w:val="22"/>
          <w:lang w:eastAsia="id-ID"/>
        </w:rPr>
        <w:t>  </w:t>
      </w:r>
    </w:p>
    <w:p w:rsidR="00744E26" w:rsidRPr="00612204" w:rsidRDefault="00744E26" w:rsidP="00744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 w:val="24"/>
          <w:szCs w:val="24"/>
          <w:lang w:val="id-ID" w:eastAsia="id-ID"/>
        </w:rPr>
      </w:pPr>
      <w:r w:rsidRPr="00F05E02">
        <w:rPr>
          <w:i/>
          <w:color w:val="212121"/>
          <w:sz w:val="22"/>
          <w:szCs w:val="22"/>
          <w:lang w:eastAsia="id-ID"/>
        </w:rPr>
        <w:t>Keywords: Tax aggressiveness, corporate social responsibility, liquidity, leverage</w:t>
      </w:r>
    </w:p>
    <w:p w:rsidR="00744E26" w:rsidRPr="00FC4EF1" w:rsidRDefault="00744E26" w:rsidP="00744E26">
      <w:pPr>
        <w:spacing w:before="204"/>
        <w:ind w:left="590" w:right="115"/>
        <w:jc w:val="center"/>
        <w:rPr>
          <w:sz w:val="24"/>
          <w:szCs w:val="24"/>
        </w:rPr>
      </w:pPr>
      <w:r w:rsidRPr="00FC4EF1">
        <w:rPr>
          <w:sz w:val="24"/>
          <w:szCs w:val="24"/>
        </w:rPr>
        <w:t>ABSTRAK</w:t>
      </w:r>
    </w:p>
    <w:p w:rsidR="00744E26" w:rsidRPr="00F05E02" w:rsidRDefault="00744E26" w:rsidP="00744E26">
      <w:pPr>
        <w:spacing w:line="276" w:lineRule="auto"/>
        <w:ind w:firstLine="720"/>
        <w:jc w:val="both"/>
        <w:rPr>
          <w:sz w:val="22"/>
          <w:szCs w:val="22"/>
        </w:rPr>
      </w:pPr>
      <w:proofErr w:type="gramStart"/>
      <w:r w:rsidRPr="00F05E02">
        <w:rPr>
          <w:sz w:val="22"/>
          <w:szCs w:val="22"/>
        </w:rPr>
        <w:t>Agresivitas pajak merupakan tindakan yang dilakukan dengan tujuan meminimalkan besarnya biaya pajak yang telah diperkirakan.</w:t>
      </w:r>
      <w:proofErr w:type="gramEnd"/>
      <w:r w:rsidRPr="00F05E02">
        <w:rPr>
          <w:sz w:val="22"/>
          <w:szCs w:val="22"/>
        </w:rPr>
        <w:t xml:space="preserve"> </w:t>
      </w:r>
      <w:proofErr w:type="gramStart"/>
      <w:r w:rsidRPr="00F05E02">
        <w:rPr>
          <w:sz w:val="22"/>
          <w:szCs w:val="22"/>
        </w:rPr>
        <w:t>Tindakan  agresivitas</w:t>
      </w:r>
      <w:proofErr w:type="gramEnd"/>
      <w:r w:rsidRPr="00F05E02">
        <w:rPr>
          <w:sz w:val="22"/>
          <w:szCs w:val="22"/>
        </w:rPr>
        <w:t xml:space="preserve"> pajak lebih banyak dilakukan oleh perusahaan besar di Indonesia karena pajak  dianggap sebagai biaya yang berpengaruh signifikan terhadap perusahaan dan memiliki dampak langsung terhadap profitabilitas. </w:t>
      </w:r>
    </w:p>
    <w:p w:rsidR="00744E26" w:rsidRPr="00F05E02" w:rsidRDefault="00744E26" w:rsidP="00744E26">
      <w:pPr>
        <w:spacing w:line="276" w:lineRule="auto"/>
        <w:ind w:firstLine="590"/>
        <w:jc w:val="both"/>
        <w:rPr>
          <w:sz w:val="22"/>
          <w:szCs w:val="22"/>
        </w:rPr>
      </w:pPr>
      <w:r w:rsidRPr="00F05E02">
        <w:rPr>
          <w:sz w:val="22"/>
          <w:szCs w:val="22"/>
        </w:rPr>
        <w:t xml:space="preserve">Tujuan penelitian ini adalah untuk menganalisis pengaruh </w:t>
      </w:r>
      <w:r w:rsidRPr="00F05E02">
        <w:rPr>
          <w:i/>
          <w:sz w:val="22"/>
          <w:szCs w:val="22"/>
        </w:rPr>
        <w:t xml:space="preserve">corporate social responsibility, </w:t>
      </w:r>
      <w:r w:rsidRPr="00F05E02">
        <w:rPr>
          <w:sz w:val="22"/>
          <w:szCs w:val="22"/>
        </w:rPr>
        <w:t xml:space="preserve">likuiditas </w:t>
      </w:r>
      <w:proofErr w:type="gramStart"/>
      <w:r w:rsidRPr="00F05E02">
        <w:rPr>
          <w:sz w:val="22"/>
          <w:szCs w:val="22"/>
        </w:rPr>
        <w:t xml:space="preserve">dan </w:t>
      </w:r>
      <w:r w:rsidRPr="00F05E02">
        <w:rPr>
          <w:i/>
          <w:sz w:val="22"/>
          <w:szCs w:val="22"/>
        </w:rPr>
        <w:t>leverage</w:t>
      </w:r>
      <w:proofErr w:type="gramEnd"/>
      <w:r w:rsidRPr="00F05E02">
        <w:rPr>
          <w:i/>
          <w:sz w:val="22"/>
          <w:szCs w:val="22"/>
        </w:rPr>
        <w:t xml:space="preserve"> </w:t>
      </w:r>
      <w:r w:rsidRPr="00F05E02">
        <w:rPr>
          <w:sz w:val="22"/>
          <w:szCs w:val="22"/>
        </w:rPr>
        <w:t xml:space="preserve">terhadap agresivitas pajak pada perusahaan </w:t>
      </w:r>
      <w:r w:rsidRPr="00746E01">
        <w:rPr>
          <w:sz w:val="22"/>
          <w:szCs w:val="22"/>
        </w:rPr>
        <w:t>Pertambangan</w:t>
      </w:r>
      <w:r w:rsidRPr="00F05E02">
        <w:rPr>
          <w:sz w:val="22"/>
          <w:szCs w:val="22"/>
        </w:rPr>
        <w:t xml:space="preserve"> yang terdaftar di Bursa Efek Indonesia periode 2014-2017. </w:t>
      </w:r>
    </w:p>
    <w:p w:rsidR="00744E26" w:rsidRPr="00F05E02" w:rsidRDefault="00744E26" w:rsidP="00744E26">
      <w:pPr>
        <w:spacing w:line="276" w:lineRule="auto"/>
        <w:ind w:firstLine="590"/>
        <w:jc w:val="both"/>
        <w:rPr>
          <w:sz w:val="22"/>
          <w:szCs w:val="22"/>
        </w:rPr>
      </w:pPr>
      <w:proofErr w:type="gramStart"/>
      <w:r w:rsidRPr="00F05E02">
        <w:rPr>
          <w:sz w:val="22"/>
          <w:szCs w:val="22"/>
        </w:rPr>
        <w:t xml:space="preserve">Pengambilan sampel menggunakan metode </w:t>
      </w:r>
      <w:r w:rsidRPr="00F05E02">
        <w:rPr>
          <w:i/>
          <w:sz w:val="22"/>
          <w:szCs w:val="22"/>
        </w:rPr>
        <w:t>purposive sampling</w:t>
      </w:r>
      <w:r w:rsidRPr="00F05E02">
        <w:rPr>
          <w:sz w:val="22"/>
          <w:szCs w:val="22"/>
        </w:rPr>
        <w:t>.Metode analisis yang digunakan dalam penelitian ini adalah regresi linier berganda.</w:t>
      </w:r>
      <w:proofErr w:type="gramEnd"/>
    </w:p>
    <w:p w:rsidR="00744E26" w:rsidRPr="00F05E02" w:rsidRDefault="00744E26" w:rsidP="00744E26">
      <w:pPr>
        <w:spacing w:line="276" w:lineRule="auto"/>
        <w:ind w:firstLine="360"/>
        <w:jc w:val="both"/>
        <w:rPr>
          <w:sz w:val="22"/>
          <w:szCs w:val="22"/>
          <w:lang w:val="id-ID"/>
        </w:rPr>
      </w:pPr>
      <w:r w:rsidRPr="00F05E02">
        <w:rPr>
          <w:sz w:val="22"/>
          <w:szCs w:val="22"/>
        </w:rPr>
        <w:t xml:space="preserve">  </w:t>
      </w:r>
    </w:p>
    <w:p w:rsidR="00744E26" w:rsidRPr="00F05E02" w:rsidRDefault="00744E26" w:rsidP="00744E26">
      <w:pPr>
        <w:spacing w:line="276" w:lineRule="auto"/>
        <w:jc w:val="both"/>
        <w:rPr>
          <w:i/>
          <w:sz w:val="22"/>
          <w:szCs w:val="22"/>
        </w:rPr>
      </w:pPr>
      <w:r w:rsidRPr="00F05E02">
        <w:rPr>
          <w:sz w:val="22"/>
          <w:szCs w:val="22"/>
        </w:rPr>
        <w:t xml:space="preserve">Kata </w:t>
      </w:r>
      <w:proofErr w:type="gramStart"/>
      <w:r w:rsidRPr="00F05E02">
        <w:rPr>
          <w:sz w:val="22"/>
          <w:szCs w:val="22"/>
        </w:rPr>
        <w:t>kunci :</w:t>
      </w:r>
      <w:proofErr w:type="gramEnd"/>
      <w:r w:rsidRPr="00F05E02">
        <w:rPr>
          <w:sz w:val="22"/>
          <w:szCs w:val="22"/>
        </w:rPr>
        <w:t xml:space="preserve"> </w:t>
      </w:r>
      <w:r w:rsidRPr="00F05E02">
        <w:rPr>
          <w:i/>
          <w:sz w:val="22"/>
          <w:szCs w:val="22"/>
        </w:rPr>
        <w:t>Agresivitas pajak, corporate social responsibility, likuiditas, leverage.</w:t>
      </w:r>
    </w:p>
    <w:p w:rsidR="00744E26" w:rsidRPr="00F05E02" w:rsidRDefault="00744E26" w:rsidP="00744E26">
      <w:pPr>
        <w:ind w:left="540"/>
        <w:rPr>
          <w:b/>
          <w:color w:val="000000" w:themeColor="text1"/>
          <w:sz w:val="22"/>
          <w:szCs w:val="22"/>
          <w:lang w:val="id-ID"/>
        </w:rPr>
      </w:pPr>
    </w:p>
    <w:p w:rsidR="00744E26" w:rsidRPr="00FC4EF1" w:rsidRDefault="00744E26" w:rsidP="00744E26">
      <w:pPr>
        <w:rPr>
          <w:rFonts w:eastAsiaTheme="majorEastAsia"/>
          <w:bCs/>
          <w:color w:val="000000" w:themeColor="text1"/>
          <w:sz w:val="24"/>
          <w:szCs w:val="24"/>
          <w:lang w:val="id-ID" w:eastAsia="ja-JP"/>
        </w:rPr>
      </w:pPr>
      <w:r w:rsidRPr="00FC4EF1">
        <w:rPr>
          <w:b/>
          <w:color w:val="000000" w:themeColor="text1"/>
          <w:sz w:val="24"/>
          <w:szCs w:val="24"/>
          <w:lang w:val="id-ID"/>
        </w:rPr>
        <w:t>PENDAHULUAN</w:t>
      </w:r>
    </w:p>
    <w:p w:rsidR="00744E26" w:rsidRPr="00CC677D" w:rsidRDefault="00744E26" w:rsidP="00CC677D">
      <w:pPr>
        <w:ind w:firstLine="720"/>
        <w:jc w:val="both"/>
        <w:rPr>
          <w:sz w:val="24"/>
          <w:szCs w:val="24"/>
          <w:lang w:val="id-ID"/>
        </w:rPr>
      </w:pPr>
      <w:proofErr w:type="gramStart"/>
      <w:r w:rsidRPr="00CC677D">
        <w:rPr>
          <w:sz w:val="24"/>
          <w:szCs w:val="24"/>
        </w:rPr>
        <w:t>Selama ini penerimaan pajak negara selalu gagal mencapai target.</w:t>
      </w:r>
      <w:proofErr w:type="gramEnd"/>
      <w:r w:rsidRPr="00CC677D">
        <w:rPr>
          <w:sz w:val="24"/>
          <w:szCs w:val="24"/>
        </w:rPr>
        <w:t xml:space="preserve"> </w:t>
      </w:r>
      <w:proofErr w:type="gramStart"/>
      <w:r w:rsidRPr="00CC677D">
        <w:rPr>
          <w:sz w:val="24"/>
          <w:szCs w:val="24"/>
        </w:rPr>
        <w:t>Direktorat Jenderal (Ditjen) Pajak mencatat salah satu penyebab gagalnya pecapaian target ini adalah banyaknya perusahaan yang tidak membayar pajak.</w:t>
      </w:r>
      <w:proofErr w:type="gramEnd"/>
      <w:r w:rsidRPr="00CC677D">
        <w:rPr>
          <w:sz w:val="24"/>
          <w:szCs w:val="24"/>
        </w:rPr>
        <w:t xml:space="preserve"> Negara telah dirugikan akibat banyaknya perusahaan yang bergerak di sektor mineral dan batu </w:t>
      </w:r>
      <w:proofErr w:type="gramStart"/>
      <w:r w:rsidRPr="00CC677D">
        <w:rPr>
          <w:sz w:val="24"/>
          <w:szCs w:val="24"/>
        </w:rPr>
        <w:t>bara</w:t>
      </w:r>
      <w:proofErr w:type="gramEnd"/>
      <w:r w:rsidRPr="00CC677D">
        <w:rPr>
          <w:sz w:val="24"/>
          <w:szCs w:val="24"/>
        </w:rPr>
        <w:t xml:space="preserve"> (minerba) yang menghindari pajak dan kurang patuh membuat laporan SPT tahunan. </w:t>
      </w:r>
      <w:proofErr w:type="gramStart"/>
      <w:r w:rsidRPr="00CC677D">
        <w:rPr>
          <w:sz w:val="24"/>
          <w:szCs w:val="24"/>
        </w:rPr>
        <w:t>Bisa dikatakan hampir setengah dari perusahaan minerba tak memiliki NPWP.</w:t>
      </w:r>
      <w:proofErr w:type="gramEnd"/>
      <w:r w:rsidRPr="00CC677D">
        <w:rPr>
          <w:sz w:val="24"/>
          <w:szCs w:val="24"/>
        </w:rPr>
        <w:t xml:space="preserve"> Wajar bila penerimaan pajak dari sektor minerba terus menurun selama periode 2012-2016, dari 5% menjadi hanya 2%, atau Rp28,94 triliun dari batu bara dan Rp14,13 triliun dari mineral. Turun menjadi Rp16</w:t>
      </w:r>
      <w:proofErr w:type="gramStart"/>
      <w:r w:rsidRPr="00CC677D">
        <w:rPr>
          <w:sz w:val="24"/>
          <w:szCs w:val="24"/>
        </w:rPr>
        <w:t>,23</w:t>
      </w:r>
      <w:proofErr w:type="gramEnd"/>
      <w:r w:rsidRPr="00CC677D">
        <w:rPr>
          <w:sz w:val="24"/>
          <w:szCs w:val="24"/>
        </w:rPr>
        <w:t xml:space="preserve"> triliun dari batu bara dan Rp4,51 triliun dari mineral.  </w:t>
      </w:r>
      <w:proofErr w:type="gramStart"/>
      <w:r w:rsidRPr="00CC677D">
        <w:rPr>
          <w:sz w:val="24"/>
          <w:szCs w:val="24"/>
        </w:rPr>
        <w:t>(Media Indonesia.com, 2017).</w:t>
      </w:r>
      <w:proofErr w:type="gramEnd"/>
      <w:r w:rsidRPr="00CC677D">
        <w:rPr>
          <w:sz w:val="24"/>
          <w:szCs w:val="24"/>
        </w:rPr>
        <w:t xml:space="preserve"> </w:t>
      </w:r>
    </w:p>
    <w:p w:rsidR="00744E26" w:rsidRPr="00CC677D" w:rsidRDefault="00744E26" w:rsidP="00CC677D">
      <w:pPr>
        <w:ind w:firstLine="720"/>
        <w:jc w:val="both"/>
        <w:rPr>
          <w:sz w:val="24"/>
          <w:szCs w:val="24"/>
          <w:lang w:val="id-ID"/>
        </w:rPr>
      </w:pPr>
      <w:proofErr w:type="gramStart"/>
      <w:r w:rsidRPr="00CC677D">
        <w:rPr>
          <w:sz w:val="24"/>
          <w:szCs w:val="24"/>
        </w:rPr>
        <w:t>Kasus tindakan pajak agresif yang dilakukan Perusahaan pertambangan di Indonesia yang terbukti mengemplang pajak yakni tiga perusahaan Batu Bara di Indragiri Hilir (Inhil) melakukan penyelewengan pajak saat dilakukan penyidakan oleh Komisi III DPRD Riau.</w:t>
      </w:r>
      <w:proofErr w:type="gramEnd"/>
      <w:r w:rsidRPr="00CC677D">
        <w:rPr>
          <w:sz w:val="24"/>
          <w:szCs w:val="24"/>
        </w:rPr>
        <w:t xml:space="preserve"> </w:t>
      </w:r>
      <w:proofErr w:type="gramStart"/>
      <w:r w:rsidRPr="00CC677D">
        <w:rPr>
          <w:sz w:val="24"/>
          <w:szCs w:val="24"/>
        </w:rPr>
        <w:t>Penyelewengan tersebut mencapai</w:t>
      </w:r>
      <w:r w:rsidRPr="00CC677D">
        <w:rPr>
          <w:sz w:val="24"/>
          <w:szCs w:val="24"/>
          <w:lang w:val="id-ID"/>
        </w:rPr>
        <w:t xml:space="preserve"> </w:t>
      </w:r>
      <w:r w:rsidRPr="00CC677D">
        <w:rPr>
          <w:sz w:val="24"/>
          <w:szCs w:val="24"/>
        </w:rPr>
        <w:t>5</w:t>
      </w:r>
      <w:r w:rsidRPr="00CC677D">
        <w:rPr>
          <w:sz w:val="24"/>
          <w:szCs w:val="24"/>
          <w:lang w:val="id-ID"/>
        </w:rPr>
        <w:t xml:space="preserve"> </w:t>
      </w:r>
      <w:r w:rsidRPr="00CC677D">
        <w:rPr>
          <w:sz w:val="24"/>
          <w:szCs w:val="24"/>
        </w:rPr>
        <w:t>Milyar pada triwulan pertama ini.</w:t>
      </w:r>
      <w:proofErr w:type="gramEnd"/>
      <w:r w:rsidRPr="00CC677D">
        <w:rPr>
          <w:sz w:val="24"/>
          <w:szCs w:val="24"/>
        </w:rPr>
        <w:t xml:space="preserve"> Tindakan agresif pajak tersebut dilakukan melalui penyelewengan </w:t>
      </w:r>
      <w:proofErr w:type="gramStart"/>
      <w:r w:rsidRPr="00CC677D">
        <w:rPr>
          <w:sz w:val="24"/>
          <w:szCs w:val="24"/>
        </w:rPr>
        <w:t>terhadap  PPh</w:t>
      </w:r>
      <w:proofErr w:type="gramEnd"/>
      <w:r w:rsidRPr="00CC677D">
        <w:rPr>
          <w:sz w:val="24"/>
          <w:szCs w:val="24"/>
        </w:rPr>
        <w:t>, PPN, PBB, IUP, serta pajak produksi yang berkaitan dengan usaha, pajak air bawah dan air permukaan. (Riauonline.co.id, 2018)</w:t>
      </w:r>
    </w:p>
    <w:p w:rsidR="00744E26" w:rsidRPr="00CC677D" w:rsidRDefault="00744E26" w:rsidP="00CC677D">
      <w:pPr>
        <w:pStyle w:val="Default"/>
        <w:ind w:firstLine="540"/>
        <w:jc w:val="both"/>
        <w:rPr>
          <w:color w:val="auto"/>
          <w:lang w:val="en-US"/>
        </w:rPr>
      </w:pPr>
      <w:r w:rsidRPr="00CC677D">
        <w:rPr>
          <w:color w:val="auto"/>
          <w:lang w:val="en-US"/>
        </w:rPr>
        <w:t xml:space="preserve">Dari beberapa penelitian terdahulu menunjukkan adanya perbedaan hasil antara satu peneliti dengan peneliti yang lain. </w:t>
      </w:r>
      <w:proofErr w:type="gramStart"/>
      <w:r w:rsidRPr="00CC677D">
        <w:rPr>
          <w:color w:val="auto"/>
          <w:lang w:val="en-US"/>
        </w:rPr>
        <w:t xml:space="preserve">Sehingga muncul </w:t>
      </w:r>
      <w:r w:rsidRPr="00CC677D">
        <w:rPr>
          <w:i/>
          <w:color w:val="auto"/>
          <w:lang w:val="en-US"/>
        </w:rPr>
        <w:t>research gap</w:t>
      </w:r>
      <w:r w:rsidRPr="00CC677D">
        <w:rPr>
          <w:color w:val="auto"/>
          <w:lang w:val="en-US"/>
        </w:rPr>
        <w:t xml:space="preserve"> atas faktor- faktor yang </w:t>
      </w:r>
      <w:r w:rsidRPr="00CC677D">
        <w:rPr>
          <w:color w:val="auto"/>
          <w:lang w:val="en-US"/>
        </w:rPr>
        <w:lastRenderedPageBreak/>
        <w:t>sebenarnya berpengaruh terhadap agresivitas pajak.</w:t>
      </w:r>
      <w:proofErr w:type="gramEnd"/>
      <w:r w:rsidRPr="00CC677D">
        <w:rPr>
          <w:color w:val="auto"/>
          <w:lang w:val="en-US"/>
        </w:rPr>
        <w:t xml:space="preserve"> </w:t>
      </w:r>
      <w:proofErr w:type="gramStart"/>
      <w:r w:rsidRPr="00CC677D">
        <w:rPr>
          <w:color w:val="auto"/>
          <w:lang w:val="en-US"/>
        </w:rPr>
        <w:t xml:space="preserve">Perbedaan tersebut memotivasi penulis untuk menganalisa lebih lanjut dan melakukan penelitian ulang berdasarkan fenomena yang sedang terjadi dan </w:t>
      </w:r>
      <w:r w:rsidRPr="00CC677D">
        <w:rPr>
          <w:i/>
          <w:color w:val="auto"/>
          <w:lang w:val="en-US"/>
        </w:rPr>
        <w:t>research gap</w:t>
      </w:r>
      <w:r w:rsidRPr="00CC677D">
        <w:rPr>
          <w:color w:val="auto"/>
          <w:lang w:val="en-US"/>
        </w:rPr>
        <w:t xml:space="preserve"> yang ada.</w:t>
      </w:r>
      <w:proofErr w:type="gramEnd"/>
    </w:p>
    <w:p w:rsidR="00744E26" w:rsidRPr="00CC677D" w:rsidRDefault="00744E26" w:rsidP="00CC677D">
      <w:pPr>
        <w:ind w:left="540" w:firstLine="180"/>
        <w:jc w:val="both"/>
        <w:rPr>
          <w:sz w:val="24"/>
          <w:szCs w:val="24"/>
          <w:lang w:val="id-ID"/>
        </w:rPr>
      </w:pPr>
    </w:p>
    <w:p w:rsidR="00744E26" w:rsidRPr="00CC677D" w:rsidRDefault="00744E26" w:rsidP="00CC677D">
      <w:pPr>
        <w:tabs>
          <w:tab w:val="left" w:pos="810"/>
        </w:tabs>
        <w:jc w:val="both"/>
        <w:rPr>
          <w:b/>
          <w:sz w:val="24"/>
          <w:szCs w:val="24"/>
          <w:lang w:val="id-ID"/>
        </w:rPr>
      </w:pPr>
      <w:r w:rsidRPr="00CC677D">
        <w:rPr>
          <w:b/>
          <w:sz w:val="24"/>
          <w:szCs w:val="24"/>
          <w:lang w:val="id-ID"/>
        </w:rPr>
        <w:t>KAJIAN PUSTAKA</w:t>
      </w:r>
    </w:p>
    <w:p w:rsidR="00744E26" w:rsidRPr="00CC677D" w:rsidRDefault="00744E26" w:rsidP="00CC677D">
      <w:pPr>
        <w:tabs>
          <w:tab w:val="left" w:pos="810"/>
        </w:tabs>
        <w:ind w:left="540"/>
        <w:jc w:val="both"/>
        <w:rPr>
          <w:b/>
          <w:sz w:val="24"/>
          <w:szCs w:val="24"/>
          <w:lang w:val="id-ID"/>
        </w:rPr>
      </w:pPr>
    </w:p>
    <w:p w:rsidR="00744E26" w:rsidRPr="00CC677D" w:rsidRDefault="00744E26" w:rsidP="00CC677D">
      <w:pPr>
        <w:rPr>
          <w:b/>
          <w:i/>
          <w:color w:val="000000" w:themeColor="text1"/>
          <w:sz w:val="24"/>
          <w:szCs w:val="24"/>
          <w:lang w:val="id-ID"/>
        </w:rPr>
      </w:pPr>
      <w:r w:rsidRPr="00CC677D">
        <w:rPr>
          <w:b/>
          <w:i/>
          <w:color w:val="000000" w:themeColor="text1"/>
          <w:sz w:val="24"/>
          <w:szCs w:val="24"/>
          <w:lang w:val="id-ID"/>
        </w:rPr>
        <w:t>Agency Theory</w:t>
      </w:r>
    </w:p>
    <w:p w:rsidR="00744E26" w:rsidRPr="00CC677D" w:rsidRDefault="00744E26" w:rsidP="00CC677D">
      <w:pPr>
        <w:ind w:firstLine="540"/>
        <w:jc w:val="both"/>
        <w:rPr>
          <w:b/>
          <w:i/>
          <w:color w:val="000000" w:themeColor="text1"/>
          <w:sz w:val="24"/>
          <w:szCs w:val="24"/>
          <w:lang w:val="id-ID"/>
        </w:rPr>
      </w:pPr>
      <w:r w:rsidRPr="00CC677D">
        <w:rPr>
          <w:color w:val="000000" w:themeColor="text1"/>
          <w:sz w:val="24"/>
          <w:szCs w:val="24"/>
          <w:lang w:val="id-ID"/>
        </w:rPr>
        <w:t>Teori keagenan mendeskripsikan hubungan antara pemegang saham (</w:t>
      </w:r>
      <w:r w:rsidRPr="00CC677D">
        <w:rPr>
          <w:i/>
          <w:color w:val="000000" w:themeColor="text1"/>
          <w:sz w:val="24"/>
          <w:szCs w:val="24"/>
          <w:lang w:val="id-ID"/>
        </w:rPr>
        <w:t>shareholders</w:t>
      </w:r>
      <w:r w:rsidRPr="00CC677D">
        <w:rPr>
          <w:color w:val="000000" w:themeColor="text1"/>
          <w:sz w:val="24"/>
          <w:szCs w:val="24"/>
          <w:lang w:val="id-ID"/>
        </w:rPr>
        <w:t>) sebagai prinsipal dan manajemen sebagai agen. Manajemen merupakan pihak yang dikontrak oleh pemegang saham untuk bekerja demi kepentingan pemegang saham. Karena mereka dipilih, maka pihak manejemen harus mempertanggungjawabkan semua pekerjaannya kepada pemegang saham.</w:t>
      </w:r>
    </w:p>
    <w:p w:rsidR="00744E26" w:rsidRPr="00CC677D" w:rsidRDefault="00744E26" w:rsidP="00CC677D">
      <w:pPr>
        <w:tabs>
          <w:tab w:val="left" w:pos="810"/>
        </w:tabs>
        <w:ind w:firstLine="540"/>
        <w:jc w:val="both"/>
        <w:rPr>
          <w:color w:val="000000" w:themeColor="text1"/>
          <w:sz w:val="24"/>
          <w:szCs w:val="24"/>
          <w:lang w:val="id-ID"/>
        </w:rPr>
      </w:pPr>
      <w:r w:rsidRPr="00CC677D">
        <w:rPr>
          <w:color w:val="000000" w:themeColor="text1"/>
          <w:sz w:val="24"/>
          <w:szCs w:val="24"/>
          <w:lang w:val="id-ID"/>
        </w:rPr>
        <w:t xml:space="preserve">Menurut Anthony dan Govindarajan (2005), teori agensi adalah hubungan atau kontrak antara </w:t>
      </w:r>
      <w:r w:rsidRPr="00CC677D">
        <w:rPr>
          <w:i/>
          <w:color w:val="000000" w:themeColor="text1"/>
          <w:sz w:val="24"/>
          <w:szCs w:val="24"/>
          <w:lang w:val="id-ID"/>
        </w:rPr>
        <w:t>principal</w:t>
      </w:r>
      <w:r w:rsidRPr="00CC677D">
        <w:rPr>
          <w:color w:val="000000" w:themeColor="text1"/>
          <w:sz w:val="24"/>
          <w:szCs w:val="24"/>
          <w:lang w:val="id-ID"/>
        </w:rPr>
        <w:t xml:space="preserve"> dan </w:t>
      </w:r>
      <w:r w:rsidRPr="00CC677D">
        <w:rPr>
          <w:i/>
          <w:color w:val="000000" w:themeColor="text1"/>
          <w:sz w:val="24"/>
          <w:szCs w:val="24"/>
          <w:lang w:val="id-ID"/>
        </w:rPr>
        <w:t>agent</w:t>
      </w:r>
      <w:r w:rsidRPr="00CC677D">
        <w:rPr>
          <w:color w:val="000000" w:themeColor="text1"/>
          <w:sz w:val="24"/>
          <w:szCs w:val="24"/>
          <w:lang w:val="id-ID"/>
        </w:rPr>
        <w:t xml:space="preserve">. Teori agensi memiliki asumsi bahwa tiap-tiap individu semata-mata termotivasi oleh kepentingan dirinya sendiri sehingga menimbulkan konflik kepentingan antara </w:t>
      </w:r>
      <w:r w:rsidRPr="00CC677D">
        <w:rPr>
          <w:i/>
          <w:color w:val="000000" w:themeColor="text1"/>
          <w:sz w:val="24"/>
          <w:szCs w:val="24"/>
          <w:lang w:val="id-ID"/>
        </w:rPr>
        <w:t>principal</w:t>
      </w:r>
      <w:r w:rsidRPr="00CC677D">
        <w:rPr>
          <w:color w:val="000000" w:themeColor="text1"/>
          <w:sz w:val="24"/>
          <w:szCs w:val="24"/>
          <w:lang w:val="id-ID"/>
        </w:rPr>
        <w:t xml:space="preserve"> dan </w:t>
      </w:r>
      <w:r w:rsidRPr="00CC677D">
        <w:rPr>
          <w:i/>
          <w:color w:val="000000" w:themeColor="text1"/>
          <w:sz w:val="24"/>
          <w:szCs w:val="24"/>
          <w:lang w:val="id-ID"/>
        </w:rPr>
        <w:t>agent</w:t>
      </w:r>
      <w:r w:rsidRPr="00CC677D">
        <w:rPr>
          <w:color w:val="000000" w:themeColor="text1"/>
          <w:sz w:val="24"/>
          <w:szCs w:val="24"/>
          <w:lang w:val="id-ID"/>
        </w:rPr>
        <w:t>.</w:t>
      </w:r>
    </w:p>
    <w:p w:rsidR="00744E26" w:rsidRPr="00CC677D" w:rsidRDefault="00744E26" w:rsidP="00CC677D">
      <w:pPr>
        <w:tabs>
          <w:tab w:val="left" w:pos="810"/>
        </w:tabs>
        <w:ind w:left="540"/>
        <w:jc w:val="both"/>
        <w:rPr>
          <w:color w:val="000000" w:themeColor="text1"/>
          <w:sz w:val="24"/>
          <w:szCs w:val="24"/>
          <w:lang w:val="id-ID"/>
        </w:rPr>
      </w:pPr>
    </w:p>
    <w:p w:rsidR="00744E26" w:rsidRPr="00CC677D" w:rsidRDefault="00744E26" w:rsidP="00CC677D">
      <w:pPr>
        <w:jc w:val="both"/>
        <w:rPr>
          <w:b/>
          <w:i/>
          <w:sz w:val="24"/>
          <w:szCs w:val="24"/>
        </w:rPr>
      </w:pPr>
      <w:r w:rsidRPr="00CC677D">
        <w:rPr>
          <w:b/>
          <w:i/>
          <w:sz w:val="24"/>
          <w:szCs w:val="24"/>
          <w:lang w:val="id-ID"/>
        </w:rPr>
        <w:t xml:space="preserve"> </w:t>
      </w:r>
      <w:r w:rsidRPr="00CC677D">
        <w:rPr>
          <w:b/>
          <w:i/>
          <w:sz w:val="24"/>
          <w:szCs w:val="24"/>
        </w:rPr>
        <w:t>Teori Legitimasi</w:t>
      </w:r>
    </w:p>
    <w:p w:rsidR="00744E26" w:rsidRPr="00CC677D" w:rsidRDefault="00744E26" w:rsidP="00CC677D">
      <w:pPr>
        <w:pStyle w:val="ListParagraph"/>
        <w:ind w:left="0"/>
        <w:jc w:val="both"/>
        <w:rPr>
          <w:sz w:val="24"/>
          <w:szCs w:val="24"/>
        </w:rPr>
      </w:pPr>
      <w:r w:rsidRPr="00CC677D">
        <w:rPr>
          <w:sz w:val="24"/>
          <w:szCs w:val="24"/>
          <w:lang w:val="id-ID"/>
        </w:rPr>
        <w:t xml:space="preserve"> </w:t>
      </w:r>
      <w:r w:rsidRPr="00CC677D">
        <w:rPr>
          <w:sz w:val="24"/>
          <w:szCs w:val="24"/>
          <w:lang w:val="id-ID"/>
        </w:rPr>
        <w:tab/>
      </w:r>
      <w:r w:rsidRPr="00CC677D">
        <w:rPr>
          <w:sz w:val="24"/>
          <w:szCs w:val="24"/>
        </w:rPr>
        <w:t>Teori legitimasi menjelaskan kontrak sosial organisasi dengan masyarakat</w:t>
      </w:r>
      <w:proofErr w:type="gramStart"/>
      <w:r w:rsidRPr="00CC677D">
        <w:rPr>
          <w:sz w:val="24"/>
          <w:szCs w:val="24"/>
        </w:rPr>
        <w:t>,kelangsungan</w:t>
      </w:r>
      <w:proofErr w:type="gramEnd"/>
      <w:r w:rsidRPr="00CC677D">
        <w:rPr>
          <w:sz w:val="24"/>
          <w:szCs w:val="24"/>
        </w:rPr>
        <w:t xml:space="preserve"> hidup perusahaan akan terancam jika masyarakat merasa organisasi telah melanggar kontrak sosialnya. </w:t>
      </w:r>
      <w:proofErr w:type="gramStart"/>
      <w:r w:rsidRPr="00CC677D">
        <w:rPr>
          <w:sz w:val="24"/>
          <w:szCs w:val="24"/>
        </w:rPr>
        <w:t>Legitimasi merupakan keadaan psikologis keberpihakan orang dan kelompok orang yang sangat peka terhadap gejala lingkungan sekitarnya baik fisik maupun non fisik.</w:t>
      </w:r>
      <w:proofErr w:type="gramEnd"/>
      <w:r w:rsidRPr="00CC677D">
        <w:rPr>
          <w:sz w:val="24"/>
          <w:szCs w:val="24"/>
        </w:rPr>
        <w:t xml:space="preserve"> </w:t>
      </w:r>
      <w:proofErr w:type="gramStart"/>
      <w:r w:rsidRPr="00CC677D">
        <w:rPr>
          <w:sz w:val="24"/>
          <w:szCs w:val="24"/>
        </w:rPr>
        <w:t>Kuriah &amp; Asyik (2016).</w:t>
      </w:r>
      <w:proofErr w:type="gramEnd"/>
      <w:r w:rsidRPr="00CC677D">
        <w:rPr>
          <w:sz w:val="24"/>
          <w:szCs w:val="24"/>
        </w:rPr>
        <w:t xml:space="preserve"> </w:t>
      </w:r>
      <w:proofErr w:type="gramStart"/>
      <w:r w:rsidRPr="00CC677D">
        <w:rPr>
          <w:sz w:val="24"/>
          <w:szCs w:val="24"/>
        </w:rPr>
        <w:t>Hal ini mengindikasi adanya kontrak sosial antara perusahaan terhadap masyarakat dan adanya pengungkapan sosial lingkungan.</w:t>
      </w:r>
      <w:proofErr w:type="gramEnd"/>
      <w:r w:rsidRPr="00CC677D">
        <w:rPr>
          <w:sz w:val="24"/>
          <w:szCs w:val="24"/>
        </w:rPr>
        <w:t xml:space="preserve"> Perusahaan menjalankan kontrak sosial harus menyesuaikan dengan nilai dan </w:t>
      </w:r>
      <w:proofErr w:type="gramStart"/>
      <w:r w:rsidRPr="00CC677D">
        <w:rPr>
          <w:sz w:val="24"/>
          <w:szCs w:val="24"/>
        </w:rPr>
        <w:t>norma</w:t>
      </w:r>
      <w:proofErr w:type="gramEnd"/>
      <w:r w:rsidRPr="00CC677D">
        <w:rPr>
          <w:sz w:val="24"/>
          <w:szCs w:val="24"/>
        </w:rPr>
        <w:t xml:space="preserve"> yang berlaku agar berjalan dengan selaras. Bentuk kegiatan penyesuaian yang banyak dilakukan perusahaan adalah melalui program </w:t>
      </w:r>
      <w:r w:rsidRPr="00CC677D">
        <w:rPr>
          <w:i/>
          <w:sz w:val="24"/>
          <w:szCs w:val="24"/>
        </w:rPr>
        <w:t>Corporate Sosial Responsibility</w:t>
      </w:r>
      <w:r w:rsidRPr="00CC677D">
        <w:rPr>
          <w:sz w:val="24"/>
          <w:szCs w:val="24"/>
        </w:rPr>
        <w:t xml:space="preserve"> (CSR). </w:t>
      </w:r>
      <w:proofErr w:type="gramStart"/>
      <w:r w:rsidRPr="00CC677D">
        <w:rPr>
          <w:sz w:val="24"/>
          <w:szCs w:val="24"/>
        </w:rPr>
        <w:t>Program CSR dilakukan dalam usaha perusahaan mengayomi lingkungan disekitarnya sebagai wujud kepedulian perusahaan terhadap lingkungan sekitar.</w:t>
      </w:r>
      <w:proofErr w:type="gramEnd"/>
      <w:r w:rsidRPr="00CC677D">
        <w:rPr>
          <w:sz w:val="24"/>
          <w:szCs w:val="24"/>
        </w:rPr>
        <w:t xml:space="preserve"> </w:t>
      </w:r>
      <w:proofErr w:type="gramStart"/>
      <w:r w:rsidRPr="00CC677D">
        <w:rPr>
          <w:sz w:val="24"/>
          <w:szCs w:val="24"/>
        </w:rPr>
        <w:t>Sama halnya dengan perusahaan yang taat membayar pajak sesuai dengan ketentuan yang berlaku tanpa mengurangi atau melakukan agresivitas pajak, berarti perusahaan telah turut serta dalam usaha meningkatkan kesejahteraan masyarakat dan pembangunan nasional.</w:t>
      </w:r>
      <w:proofErr w:type="gramEnd"/>
      <w:r w:rsidRPr="00CC677D">
        <w:rPr>
          <w:sz w:val="24"/>
          <w:szCs w:val="24"/>
        </w:rPr>
        <w:t xml:space="preserve"> </w:t>
      </w:r>
      <w:proofErr w:type="gramStart"/>
      <w:r w:rsidRPr="00CC677D">
        <w:rPr>
          <w:sz w:val="24"/>
          <w:szCs w:val="24"/>
        </w:rPr>
        <w:t>Perusahaan yang semakin banyak melakukan dan mengungkapkan kegiatan CSR berarti perusahaan tersebut memiliki kepedulian terhadap masyarakat dan lingkungan sekitarnya serta seharusnya membayar pajak sesuai dengan ketentuan yang berlaku dan tidak melakukan agresivitas pajak.</w:t>
      </w:r>
      <w:proofErr w:type="gramEnd"/>
      <w:r w:rsidRPr="00CC677D">
        <w:rPr>
          <w:sz w:val="24"/>
          <w:szCs w:val="24"/>
        </w:rPr>
        <w:t xml:space="preserve"> </w:t>
      </w:r>
      <w:proofErr w:type="gramStart"/>
      <w:r w:rsidRPr="00CC677D">
        <w:rPr>
          <w:sz w:val="24"/>
          <w:szCs w:val="24"/>
        </w:rPr>
        <w:t>Nugraha dan Meiranto (2015).</w:t>
      </w:r>
      <w:proofErr w:type="gramEnd"/>
    </w:p>
    <w:p w:rsidR="00744E26" w:rsidRPr="00CC677D" w:rsidRDefault="00744E26" w:rsidP="00CC677D">
      <w:pPr>
        <w:tabs>
          <w:tab w:val="left" w:pos="810"/>
        </w:tabs>
        <w:ind w:left="540"/>
        <w:jc w:val="both"/>
        <w:rPr>
          <w:color w:val="000000" w:themeColor="text1"/>
          <w:sz w:val="24"/>
          <w:szCs w:val="24"/>
          <w:lang w:val="id-ID"/>
        </w:rPr>
      </w:pPr>
    </w:p>
    <w:p w:rsidR="00744E26" w:rsidRPr="00CC677D" w:rsidRDefault="00744E26" w:rsidP="00CC677D">
      <w:pPr>
        <w:jc w:val="both"/>
        <w:rPr>
          <w:b/>
          <w:sz w:val="24"/>
          <w:szCs w:val="24"/>
        </w:rPr>
      </w:pPr>
      <w:r w:rsidRPr="00CC677D">
        <w:rPr>
          <w:b/>
          <w:sz w:val="24"/>
          <w:szCs w:val="24"/>
        </w:rPr>
        <w:t xml:space="preserve">Agresivitas Pajak </w:t>
      </w:r>
      <w:r w:rsidRPr="00CC677D">
        <w:rPr>
          <w:b/>
          <w:i/>
          <w:sz w:val="24"/>
          <w:szCs w:val="24"/>
        </w:rPr>
        <w:t>(Tax Aggressiveness)</w:t>
      </w:r>
    </w:p>
    <w:p w:rsidR="00744E26" w:rsidRPr="00CC677D" w:rsidRDefault="00744E26" w:rsidP="00CC677D">
      <w:pPr>
        <w:ind w:firstLine="720"/>
        <w:jc w:val="both"/>
        <w:rPr>
          <w:sz w:val="24"/>
          <w:szCs w:val="24"/>
        </w:rPr>
      </w:pPr>
      <w:r w:rsidRPr="00CC677D">
        <w:rPr>
          <w:sz w:val="24"/>
          <w:szCs w:val="24"/>
        </w:rPr>
        <w:t xml:space="preserve">Beberapa penelitian yang menggunakan proksi </w:t>
      </w:r>
      <w:r w:rsidRPr="00CC677D">
        <w:rPr>
          <w:i/>
          <w:sz w:val="24"/>
          <w:szCs w:val="24"/>
        </w:rPr>
        <w:t>Effective Tax Ratio</w:t>
      </w:r>
      <w:r w:rsidRPr="00CC677D">
        <w:rPr>
          <w:sz w:val="24"/>
          <w:szCs w:val="24"/>
        </w:rPr>
        <w:t xml:space="preserve"> (ETR) dalam memproksikan agresivitas pajak diantaranya Kuriah dan Asyik (2016), Nugraha dan Meiranto (2015), Fahriani dan Priyadi (2016), Sukmawati dan Rebecca (2016). Lanis dan Richardson (2012) dalam Fahriani dan Priyadi (2016) menyatakan bahwa terdapat beberapa alasan menggunakan ETR sebagai proksi untuk mengukur agresivitas pajak, proksi ETR adalah proksi yang paling banyak digunakan dalam literatur, dan nilai yang rendah dari ETR dapat menjadi indikator adanya agresivitas pajak. </w:t>
      </w:r>
      <w:proofErr w:type="gramStart"/>
      <w:r w:rsidRPr="00CC677D">
        <w:rPr>
          <w:sz w:val="24"/>
          <w:szCs w:val="24"/>
        </w:rPr>
        <w:t>Secara keseluruhan, perusahaan-perusahaan yang menghindari pajak perusahan dengan mengurangi penghasilan kena pajak mereka dengan tetap menjaga laba akuntansi keuangan memiliki nilai ETR yang lebih rendah.</w:t>
      </w:r>
      <w:proofErr w:type="gramEnd"/>
      <w:r w:rsidRPr="00CC677D">
        <w:rPr>
          <w:sz w:val="24"/>
          <w:szCs w:val="24"/>
        </w:rPr>
        <w:t xml:space="preserve"> </w:t>
      </w:r>
      <w:proofErr w:type="gramStart"/>
      <w:r w:rsidRPr="00CC677D">
        <w:rPr>
          <w:sz w:val="24"/>
          <w:szCs w:val="24"/>
        </w:rPr>
        <w:t>Dengan demikian, ETR dapat digunakan untuk mengukur agresivitas pajak.</w:t>
      </w:r>
      <w:proofErr w:type="gramEnd"/>
      <w:r w:rsidRPr="00CC677D">
        <w:rPr>
          <w:sz w:val="24"/>
          <w:szCs w:val="24"/>
        </w:rPr>
        <w:t xml:space="preserve"> </w:t>
      </w:r>
      <w:proofErr w:type="gramStart"/>
      <w:r w:rsidRPr="00CC677D">
        <w:rPr>
          <w:sz w:val="24"/>
          <w:szCs w:val="24"/>
        </w:rPr>
        <w:t>Dalam penelitian ini, peneliti juga menggunakan ETR untuk mengukur tingkat agresivitas pajak.</w:t>
      </w:r>
      <w:proofErr w:type="gramEnd"/>
      <w:r w:rsidRPr="00CC677D">
        <w:rPr>
          <w:sz w:val="24"/>
          <w:szCs w:val="24"/>
        </w:rPr>
        <w:t xml:space="preserve"> </w:t>
      </w:r>
    </w:p>
    <w:p w:rsidR="00744E26" w:rsidRPr="00CC677D" w:rsidRDefault="00744E26" w:rsidP="00CC677D">
      <w:pPr>
        <w:jc w:val="center"/>
        <w:rPr>
          <w:sz w:val="24"/>
          <w:szCs w:val="24"/>
        </w:rPr>
      </w:pPr>
      <w:r w:rsidRPr="00CC677D">
        <w:rPr>
          <w:noProof/>
          <w:sz w:val="24"/>
          <w:szCs w:val="24"/>
          <w:lang w:val="id-ID" w:eastAsia="id-ID"/>
        </w:rPr>
        <w:drawing>
          <wp:inline distT="0" distB="0" distL="0" distR="0">
            <wp:extent cx="2266122" cy="564542"/>
            <wp:effectExtent l="0" t="0" r="1270" b="6985"/>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8" cstate="print"/>
                    <a:srcRect l="37968" t="56762" r="35544" b="34369"/>
                    <a:stretch/>
                  </pic:blipFill>
                  <pic:spPr bwMode="auto">
                    <a:xfrm>
                      <a:off x="0" y="0"/>
                      <a:ext cx="2281792" cy="5684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44E26" w:rsidRPr="00CC677D" w:rsidRDefault="00744E26" w:rsidP="00CC677D">
      <w:pPr>
        <w:tabs>
          <w:tab w:val="left" w:pos="810"/>
        </w:tabs>
        <w:jc w:val="both"/>
        <w:rPr>
          <w:b/>
          <w:color w:val="000000" w:themeColor="text1"/>
          <w:sz w:val="24"/>
          <w:szCs w:val="24"/>
          <w:lang w:val="id-ID"/>
        </w:rPr>
      </w:pPr>
    </w:p>
    <w:p w:rsidR="00744E26" w:rsidRPr="00CC677D" w:rsidRDefault="00744E26" w:rsidP="00CC677D">
      <w:pPr>
        <w:jc w:val="both"/>
        <w:rPr>
          <w:b/>
          <w:sz w:val="24"/>
          <w:szCs w:val="24"/>
        </w:rPr>
      </w:pPr>
      <w:r w:rsidRPr="00CC677D">
        <w:rPr>
          <w:b/>
          <w:i/>
          <w:sz w:val="24"/>
          <w:szCs w:val="24"/>
        </w:rPr>
        <w:lastRenderedPageBreak/>
        <w:t>Corporate Social Responsibility</w:t>
      </w:r>
      <w:r w:rsidRPr="00CC677D">
        <w:rPr>
          <w:b/>
          <w:sz w:val="24"/>
          <w:szCs w:val="24"/>
        </w:rPr>
        <w:t xml:space="preserve"> (CSR)</w:t>
      </w:r>
    </w:p>
    <w:p w:rsidR="00744E26" w:rsidRPr="00CC677D" w:rsidRDefault="00744E26" w:rsidP="00CC677D">
      <w:pPr>
        <w:ind w:firstLine="720"/>
        <w:jc w:val="both"/>
        <w:rPr>
          <w:sz w:val="24"/>
          <w:szCs w:val="24"/>
        </w:rPr>
      </w:pPr>
      <w:r w:rsidRPr="00CC677D">
        <w:rPr>
          <w:sz w:val="24"/>
          <w:szCs w:val="24"/>
          <w:lang w:val="id-ID"/>
        </w:rPr>
        <w:t>C</w:t>
      </w:r>
      <w:r w:rsidRPr="00CC677D">
        <w:rPr>
          <w:sz w:val="24"/>
          <w:szCs w:val="24"/>
        </w:rPr>
        <w:t xml:space="preserve">ara pengukuran CSR diantaranya berdasarkan penelitian yang dilakukan oleh Mgbame </w:t>
      </w:r>
      <w:r w:rsidRPr="00CC677D">
        <w:rPr>
          <w:i/>
          <w:sz w:val="24"/>
          <w:szCs w:val="24"/>
        </w:rPr>
        <w:t xml:space="preserve">et. </w:t>
      </w:r>
      <w:proofErr w:type="gramStart"/>
      <w:r w:rsidRPr="00CC677D">
        <w:rPr>
          <w:i/>
          <w:sz w:val="24"/>
          <w:szCs w:val="24"/>
        </w:rPr>
        <w:t>al</w:t>
      </w:r>
      <w:proofErr w:type="gramEnd"/>
      <w:r w:rsidRPr="00CC677D">
        <w:rPr>
          <w:sz w:val="24"/>
          <w:szCs w:val="24"/>
        </w:rPr>
        <w:t xml:space="preserve"> (2017) kinerja CSR diukur dalam bentuk sumbangan perusahaan yang dilakukan sepanjang tahun. </w:t>
      </w:r>
      <w:proofErr w:type="gramStart"/>
      <w:r w:rsidRPr="00CC677D">
        <w:rPr>
          <w:sz w:val="24"/>
          <w:szCs w:val="24"/>
        </w:rPr>
        <w:t>Menurut Nugraha dan Meiranto (2015) pengungkapan CSR diukur dengan indeks GRI.</w:t>
      </w:r>
      <w:proofErr w:type="gramEnd"/>
      <w:r w:rsidRPr="00CC677D">
        <w:rPr>
          <w:sz w:val="24"/>
          <w:szCs w:val="24"/>
        </w:rPr>
        <w:t xml:space="preserve"> </w:t>
      </w:r>
      <w:proofErr w:type="gramStart"/>
      <w:r w:rsidRPr="00CC677D">
        <w:rPr>
          <w:sz w:val="24"/>
          <w:szCs w:val="24"/>
        </w:rPr>
        <w:t xml:space="preserve">Penelitian Kuriah dan Asyik (2016), pengukuran CSR dilakukan dengan mencocokkan item pada </w:t>
      </w:r>
      <w:r w:rsidRPr="00CC677D">
        <w:rPr>
          <w:i/>
          <w:sz w:val="24"/>
          <w:szCs w:val="24"/>
        </w:rPr>
        <w:t>check list</w:t>
      </w:r>
      <w:r w:rsidRPr="00CC677D">
        <w:rPr>
          <w:sz w:val="24"/>
          <w:szCs w:val="24"/>
        </w:rPr>
        <w:t xml:space="preserve"> dengan item yang diungkapkan perusahaan.</w:t>
      </w:r>
      <w:proofErr w:type="gramEnd"/>
      <w:r w:rsidRPr="00CC677D">
        <w:rPr>
          <w:sz w:val="24"/>
          <w:szCs w:val="24"/>
        </w:rPr>
        <w:t xml:space="preserve"> </w:t>
      </w:r>
      <w:proofErr w:type="gramStart"/>
      <w:r w:rsidRPr="00CC677D">
        <w:rPr>
          <w:sz w:val="24"/>
          <w:szCs w:val="24"/>
        </w:rPr>
        <w:t>Hasil pengungkapan item yang diperoleh dari setiap perusahaan dihitung indeksnya dengan proksi CSRI.</w:t>
      </w:r>
      <w:proofErr w:type="gramEnd"/>
      <w:r w:rsidRPr="00CC677D">
        <w:rPr>
          <w:sz w:val="24"/>
          <w:szCs w:val="24"/>
        </w:rPr>
        <w:t xml:space="preserve"> Berikut ini pengukuran CSR menggunakan CSR </w:t>
      </w:r>
      <w:proofErr w:type="gramStart"/>
      <w:r w:rsidRPr="00CC677D">
        <w:rPr>
          <w:sz w:val="24"/>
          <w:szCs w:val="24"/>
        </w:rPr>
        <w:t>Indeks :</w:t>
      </w:r>
      <w:proofErr w:type="gramEnd"/>
    </w:p>
    <w:p w:rsidR="00744E26" w:rsidRPr="00CC677D" w:rsidRDefault="00744E26" w:rsidP="00CC677D">
      <w:pPr>
        <w:jc w:val="center"/>
        <w:rPr>
          <w:sz w:val="24"/>
          <w:szCs w:val="24"/>
        </w:rPr>
      </w:pPr>
    </w:p>
    <w:p w:rsidR="00744E26" w:rsidRPr="00CC677D" w:rsidRDefault="00744E26" w:rsidP="00CC677D">
      <w:pPr>
        <w:jc w:val="center"/>
        <w:rPr>
          <w:sz w:val="24"/>
          <w:szCs w:val="24"/>
        </w:rPr>
      </w:pPr>
      <w:r w:rsidRPr="00CC677D">
        <w:rPr>
          <w:noProof/>
          <w:sz w:val="24"/>
          <w:szCs w:val="24"/>
          <w:lang w:val="id-ID" w:eastAsia="id-ID"/>
        </w:rPr>
        <w:drawing>
          <wp:inline distT="0" distB="0" distL="0" distR="0">
            <wp:extent cx="1648385" cy="484094"/>
            <wp:effectExtent l="19050" t="0" r="896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47010" t="20736" r="38308" b="66938"/>
                    <a:stretch/>
                  </pic:blipFill>
                  <pic:spPr bwMode="auto">
                    <a:xfrm>
                      <a:off x="0" y="0"/>
                      <a:ext cx="1723093" cy="50603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44E26" w:rsidRPr="00CC677D" w:rsidRDefault="00744E26" w:rsidP="00CC677D">
      <w:pPr>
        <w:tabs>
          <w:tab w:val="left" w:pos="810"/>
        </w:tabs>
        <w:jc w:val="both"/>
        <w:rPr>
          <w:b/>
          <w:sz w:val="24"/>
          <w:szCs w:val="24"/>
        </w:rPr>
      </w:pPr>
      <w:r w:rsidRPr="00CC677D">
        <w:rPr>
          <w:b/>
          <w:sz w:val="24"/>
          <w:szCs w:val="24"/>
        </w:rPr>
        <w:t>Likuiditas</w:t>
      </w:r>
    </w:p>
    <w:p w:rsidR="00744E26" w:rsidRPr="00CC677D" w:rsidRDefault="00744E26" w:rsidP="00CC677D">
      <w:pPr>
        <w:ind w:firstLine="720"/>
        <w:jc w:val="both"/>
        <w:rPr>
          <w:sz w:val="24"/>
          <w:szCs w:val="24"/>
        </w:rPr>
      </w:pPr>
      <w:r w:rsidRPr="00CC677D">
        <w:rPr>
          <w:sz w:val="24"/>
          <w:szCs w:val="24"/>
          <w:lang w:val="id-ID"/>
        </w:rPr>
        <w:t>R</w:t>
      </w:r>
      <w:r w:rsidRPr="00CC677D">
        <w:rPr>
          <w:sz w:val="24"/>
          <w:szCs w:val="24"/>
        </w:rPr>
        <w:t xml:space="preserve">asio yang digunakan untuk menghitung tingkat likuiditas perusahaan adalah rasio lancar </w:t>
      </w:r>
      <w:r w:rsidRPr="00CC677D">
        <w:rPr>
          <w:i/>
          <w:sz w:val="24"/>
          <w:szCs w:val="24"/>
        </w:rPr>
        <w:t>(current ratio)</w:t>
      </w:r>
      <w:r w:rsidRPr="00CC677D">
        <w:rPr>
          <w:sz w:val="24"/>
          <w:szCs w:val="24"/>
        </w:rPr>
        <w:t xml:space="preserve">. </w:t>
      </w:r>
      <w:proofErr w:type="gramStart"/>
      <w:r w:rsidRPr="00CC677D">
        <w:rPr>
          <w:sz w:val="24"/>
          <w:szCs w:val="24"/>
        </w:rPr>
        <w:t>Dalam praktiknya seringkali dipakai bahwa rasio lancar dengan standar 200% (2:1) yang terkadang sudah dianggap sebagai ukuran yang cukup baik atau memuaskan bagi suatu perusahaan.</w:t>
      </w:r>
      <w:proofErr w:type="gramEnd"/>
      <w:r w:rsidRPr="00CC677D">
        <w:rPr>
          <w:sz w:val="24"/>
          <w:szCs w:val="24"/>
        </w:rPr>
        <w:t xml:space="preserve"> Dengan kata </w:t>
      </w:r>
      <w:proofErr w:type="gramStart"/>
      <w:r w:rsidRPr="00CC677D">
        <w:rPr>
          <w:sz w:val="24"/>
          <w:szCs w:val="24"/>
        </w:rPr>
        <w:t>lain</w:t>
      </w:r>
      <w:proofErr w:type="gramEnd"/>
      <w:r w:rsidRPr="00CC677D">
        <w:rPr>
          <w:sz w:val="24"/>
          <w:szCs w:val="24"/>
        </w:rPr>
        <w:t xml:space="preserve">, seberapa banyak aktiva lancar yang tersedia untuk menutupi kewajiban jangka pendek yang segera jatuh tempo. Rumus untuk mencari rasio lancar atau </w:t>
      </w:r>
      <w:r w:rsidRPr="00CC677D">
        <w:rPr>
          <w:i/>
          <w:sz w:val="24"/>
          <w:szCs w:val="24"/>
        </w:rPr>
        <w:t>current ratio</w:t>
      </w:r>
      <w:r w:rsidRPr="00CC677D">
        <w:rPr>
          <w:sz w:val="24"/>
          <w:szCs w:val="24"/>
        </w:rPr>
        <w:t xml:space="preserve"> adalah sebagai berikut: </w:t>
      </w:r>
    </w:p>
    <w:p w:rsidR="00744E26" w:rsidRPr="00CC677D" w:rsidRDefault="00744E26" w:rsidP="00CC677D">
      <w:pPr>
        <w:pStyle w:val="ListParagraph"/>
        <w:numPr>
          <w:ilvl w:val="0"/>
          <w:numId w:val="7"/>
        </w:numPr>
        <w:jc w:val="center"/>
        <w:rPr>
          <w:sz w:val="24"/>
          <w:szCs w:val="24"/>
        </w:rPr>
      </w:pPr>
      <w:r w:rsidRPr="00CC677D">
        <w:rPr>
          <w:noProof/>
          <w:sz w:val="24"/>
          <w:szCs w:val="24"/>
          <w:lang w:val="id-ID" w:eastAsia="id-ID"/>
        </w:rPr>
        <w:drawing>
          <wp:inline distT="0" distB="0" distL="0" distR="0">
            <wp:extent cx="2496709" cy="437321"/>
            <wp:effectExtent l="0" t="0" r="0" b="1270"/>
            <wp:docPr id="12"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0" cstate="print"/>
                    <a:srcRect l="29182" t="79459" r="39498" b="14137"/>
                    <a:stretch/>
                  </pic:blipFill>
                  <pic:spPr bwMode="auto">
                    <a:xfrm>
                      <a:off x="0" y="0"/>
                      <a:ext cx="2575568" cy="45113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44E26" w:rsidRPr="00CC677D" w:rsidRDefault="00744E26" w:rsidP="00CC677D">
      <w:pPr>
        <w:tabs>
          <w:tab w:val="left" w:pos="810"/>
        </w:tabs>
        <w:jc w:val="both"/>
        <w:rPr>
          <w:rFonts w:eastAsiaTheme="minorEastAsia"/>
          <w:color w:val="000000" w:themeColor="text1"/>
          <w:sz w:val="24"/>
          <w:szCs w:val="24"/>
        </w:rPr>
      </w:pPr>
    </w:p>
    <w:p w:rsidR="00744E26" w:rsidRPr="00994263" w:rsidRDefault="00744E26" w:rsidP="00994263">
      <w:pPr>
        <w:jc w:val="both"/>
        <w:rPr>
          <w:b/>
          <w:i/>
          <w:sz w:val="24"/>
          <w:szCs w:val="24"/>
        </w:rPr>
      </w:pPr>
      <w:r w:rsidRPr="00994263">
        <w:rPr>
          <w:b/>
          <w:i/>
          <w:sz w:val="24"/>
          <w:szCs w:val="24"/>
        </w:rPr>
        <w:t>Leverage</w:t>
      </w:r>
    </w:p>
    <w:p w:rsidR="00744E26" w:rsidRPr="00CC677D" w:rsidRDefault="00744E26" w:rsidP="00CC677D">
      <w:pPr>
        <w:ind w:firstLine="720"/>
        <w:jc w:val="both"/>
        <w:rPr>
          <w:sz w:val="24"/>
          <w:szCs w:val="24"/>
        </w:rPr>
      </w:pPr>
      <w:r w:rsidRPr="00CC677D">
        <w:rPr>
          <w:sz w:val="24"/>
          <w:szCs w:val="24"/>
          <w:lang w:val="id-ID"/>
        </w:rPr>
        <w:t>R</w:t>
      </w:r>
      <w:r w:rsidRPr="00CC677D">
        <w:rPr>
          <w:sz w:val="24"/>
          <w:szCs w:val="24"/>
        </w:rPr>
        <w:t>asio yang digunakan dalam menghitung tingkat</w:t>
      </w:r>
      <w:r w:rsidRPr="00CC677D">
        <w:rPr>
          <w:i/>
          <w:sz w:val="24"/>
          <w:szCs w:val="24"/>
        </w:rPr>
        <w:t xml:space="preserve"> leverage</w:t>
      </w:r>
      <w:r w:rsidRPr="00CC677D">
        <w:rPr>
          <w:sz w:val="24"/>
          <w:szCs w:val="24"/>
        </w:rPr>
        <w:t xml:space="preserve"> suatu perusahaan adalah </w:t>
      </w:r>
      <w:r w:rsidRPr="00CC677D">
        <w:rPr>
          <w:i/>
          <w:sz w:val="24"/>
          <w:szCs w:val="24"/>
        </w:rPr>
        <w:t>Debt to Total Assets Ratio (Debt ratio)</w:t>
      </w:r>
      <w:r w:rsidRPr="00CC677D">
        <w:rPr>
          <w:sz w:val="24"/>
          <w:szCs w:val="24"/>
        </w:rPr>
        <w:t xml:space="preserve">. Menurut Kasmir (2015:156) </w:t>
      </w:r>
      <w:r w:rsidRPr="00CC677D">
        <w:rPr>
          <w:i/>
          <w:sz w:val="24"/>
          <w:szCs w:val="24"/>
        </w:rPr>
        <w:t>Debt to Total Assets Ratio</w:t>
      </w:r>
      <w:r w:rsidRPr="00CC677D">
        <w:rPr>
          <w:sz w:val="24"/>
          <w:szCs w:val="24"/>
        </w:rPr>
        <w:t xml:space="preserve"> adalah rasio utang yang digunakan untuk mengukur perbandingan antara total utang dengan total aktiva. Dengan kata </w:t>
      </w:r>
      <w:proofErr w:type="gramStart"/>
      <w:r w:rsidRPr="00CC677D">
        <w:rPr>
          <w:sz w:val="24"/>
          <w:szCs w:val="24"/>
        </w:rPr>
        <w:t>lain</w:t>
      </w:r>
      <w:proofErr w:type="gramEnd"/>
      <w:r w:rsidRPr="00CC677D">
        <w:rPr>
          <w:sz w:val="24"/>
          <w:szCs w:val="24"/>
        </w:rPr>
        <w:t xml:space="preserve">, seberapa besar aktiva perusahaan berpengaruh terhadap pengelolaan aktiva. </w:t>
      </w:r>
    </w:p>
    <w:p w:rsidR="00744E26" w:rsidRPr="00CC677D" w:rsidRDefault="00744E26" w:rsidP="00CC677D">
      <w:pPr>
        <w:pStyle w:val="ListParagraph"/>
        <w:ind w:left="1080"/>
        <w:jc w:val="both"/>
        <w:rPr>
          <w:sz w:val="24"/>
          <w:szCs w:val="24"/>
        </w:rPr>
      </w:pPr>
      <w:proofErr w:type="gramStart"/>
      <w:r w:rsidRPr="00CC677D">
        <w:rPr>
          <w:sz w:val="24"/>
          <w:szCs w:val="24"/>
        </w:rPr>
        <w:t>rumus</w:t>
      </w:r>
      <w:proofErr w:type="gramEnd"/>
      <w:r w:rsidRPr="00CC677D">
        <w:rPr>
          <w:sz w:val="24"/>
          <w:szCs w:val="24"/>
        </w:rPr>
        <w:t xml:space="preserve"> yang digunakan untuk menghitung </w:t>
      </w:r>
      <w:r w:rsidRPr="00CC677D">
        <w:rPr>
          <w:i/>
          <w:sz w:val="24"/>
          <w:szCs w:val="24"/>
        </w:rPr>
        <w:t xml:space="preserve">Debt to Total Assets Ratio </w:t>
      </w:r>
      <w:r w:rsidRPr="00CC677D">
        <w:rPr>
          <w:sz w:val="24"/>
          <w:szCs w:val="24"/>
        </w:rPr>
        <w:t>:</w:t>
      </w:r>
      <w:r w:rsidRPr="00CC677D">
        <w:rPr>
          <w:noProof/>
          <w:sz w:val="24"/>
          <w:szCs w:val="24"/>
          <w:lang w:eastAsia="id-ID"/>
        </w:rPr>
        <w:t xml:space="preserve"> </w:t>
      </w:r>
    </w:p>
    <w:p w:rsidR="00744E26" w:rsidRPr="00CC677D" w:rsidRDefault="00744E26" w:rsidP="00CC677D">
      <w:pPr>
        <w:pStyle w:val="ListParagraph"/>
        <w:ind w:left="1080"/>
        <w:rPr>
          <w:sz w:val="24"/>
          <w:szCs w:val="24"/>
        </w:rPr>
      </w:pPr>
      <w:r w:rsidRPr="00CC677D">
        <w:rPr>
          <w:noProof/>
          <w:sz w:val="24"/>
          <w:szCs w:val="24"/>
          <w:lang w:val="id-ID" w:eastAsia="id-ID"/>
        </w:rPr>
        <w:drawing>
          <wp:inline distT="0" distB="0" distL="0" distR="0">
            <wp:extent cx="3572466" cy="508801"/>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35311" t="59472" r="33553" b="32642"/>
                    <a:stretch/>
                  </pic:blipFill>
                  <pic:spPr bwMode="auto">
                    <a:xfrm>
                      <a:off x="0" y="0"/>
                      <a:ext cx="3655584" cy="5206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44E26" w:rsidRPr="00CC677D" w:rsidRDefault="00744E26" w:rsidP="00CC677D">
      <w:pPr>
        <w:ind w:left="540" w:firstLine="180"/>
        <w:jc w:val="both"/>
        <w:rPr>
          <w:b/>
          <w:color w:val="000000" w:themeColor="text1"/>
          <w:sz w:val="24"/>
          <w:szCs w:val="24"/>
          <w:lang w:val="id-ID"/>
        </w:rPr>
      </w:pPr>
    </w:p>
    <w:p w:rsidR="00744E26" w:rsidRPr="00CC677D" w:rsidRDefault="00744E26" w:rsidP="00CC677D">
      <w:pPr>
        <w:tabs>
          <w:tab w:val="left" w:pos="810"/>
        </w:tabs>
        <w:jc w:val="both"/>
        <w:rPr>
          <w:b/>
          <w:color w:val="000000" w:themeColor="text1"/>
          <w:sz w:val="24"/>
          <w:szCs w:val="24"/>
          <w:lang w:val="id-ID"/>
        </w:rPr>
      </w:pPr>
      <w:r w:rsidRPr="00CC677D">
        <w:rPr>
          <w:b/>
          <w:color w:val="000000" w:themeColor="text1"/>
          <w:sz w:val="24"/>
          <w:szCs w:val="24"/>
          <w:lang w:val="id-ID"/>
        </w:rPr>
        <w:t>Hipotesis Penelitian</w:t>
      </w:r>
    </w:p>
    <w:p w:rsidR="00744E26" w:rsidRPr="00CC677D" w:rsidRDefault="00744E26" w:rsidP="00CC677D">
      <w:pPr>
        <w:tabs>
          <w:tab w:val="left" w:pos="810"/>
        </w:tabs>
        <w:ind w:firstLine="540"/>
        <w:jc w:val="both"/>
        <w:rPr>
          <w:sz w:val="24"/>
          <w:szCs w:val="24"/>
        </w:rPr>
      </w:pPr>
      <w:r w:rsidRPr="00CC677D">
        <w:rPr>
          <w:sz w:val="24"/>
          <w:szCs w:val="24"/>
        </w:rPr>
        <w:tab/>
        <w:t xml:space="preserve">Hipotesis penelitian adalah perumusan jawaban sementara terhadap suatu masalah yang </w:t>
      </w:r>
      <w:proofErr w:type="gramStart"/>
      <w:r w:rsidRPr="00CC677D">
        <w:rPr>
          <w:sz w:val="24"/>
          <w:szCs w:val="24"/>
        </w:rPr>
        <w:t>akan</w:t>
      </w:r>
      <w:proofErr w:type="gramEnd"/>
      <w:r w:rsidRPr="00CC677D">
        <w:rPr>
          <w:sz w:val="24"/>
          <w:szCs w:val="24"/>
        </w:rPr>
        <w:t xml:space="preserve"> diteliti. </w:t>
      </w:r>
      <w:proofErr w:type="gramStart"/>
      <w:r w:rsidRPr="00CC677D">
        <w:rPr>
          <w:sz w:val="24"/>
          <w:szCs w:val="24"/>
        </w:rPr>
        <w:t>Kemudian hipotesis harus diuji dan dibuktikan kebenarannya berdasarkan fakta yang diperoleh dari penelitian, maka hipotesis diajukan sebagai alternative untuk d</w:t>
      </w:r>
      <w:r w:rsidRPr="00CC677D">
        <w:rPr>
          <w:sz w:val="24"/>
          <w:szCs w:val="24"/>
          <w:lang w:val="id-ID"/>
        </w:rPr>
        <w:t>i</w:t>
      </w:r>
      <w:r w:rsidRPr="00CC677D">
        <w:rPr>
          <w:sz w:val="24"/>
          <w:szCs w:val="24"/>
        </w:rPr>
        <w:t>terima atau ditolak.</w:t>
      </w:r>
      <w:proofErr w:type="gramEnd"/>
      <w:r w:rsidRPr="00CC677D">
        <w:rPr>
          <w:sz w:val="24"/>
          <w:szCs w:val="24"/>
        </w:rPr>
        <w:t xml:space="preserve"> Berdasarkan perumusan masalah dan landasan teori yang dikemukakan maka hipotesis yang dapat di rumuskan sebagai berikut:</w:t>
      </w:r>
    </w:p>
    <w:p w:rsidR="00744E26" w:rsidRPr="00CC677D" w:rsidRDefault="00744E26" w:rsidP="00CC677D">
      <w:pPr>
        <w:tabs>
          <w:tab w:val="left" w:pos="810"/>
        </w:tabs>
        <w:jc w:val="both"/>
        <w:rPr>
          <w:color w:val="000000" w:themeColor="text1"/>
          <w:sz w:val="24"/>
          <w:szCs w:val="24"/>
          <w:lang w:val="id-ID"/>
        </w:rPr>
      </w:pPr>
      <w:proofErr w:type="gramStart"/>
      <w:r w:rsidRPr="00CC677D">
        <w:rPr>
          <w:b/>
          <w:sz w:val="24"/>
          <w:szCs w:val="24"/>
        </w:rPr>
        <w:t>H</w:t>
      </w:r>
      <w:r w:rsidRPr="00CC677D">
        <w:rPr>
          <w:b/>
          <w:sz w:val="24"/>
          <w:szCs w:val="24"/>
          <w:vertAlign w:val="subscript"/>
        </w:rPr>
        <w:t>1 :</w:t>
      </w:r>
      <w:proofErr w:type="gramEnd"/>
      <w:r w:rsidRPr="00CC677D">
        <w:rPr>
          <w:b/>
          <w:sz w:val="24"/>
          <w:szCs w:val="24"/>
          <w:vertAlign w:val="subscript"/>
        </w:rPr>
        <w:t xml:space="preserve"> </w:t>
      </w:r>
      <w:r w:rsidRPr="00CC677D">
        <w:rPr>
          <w:b/>
          <w:sz w:val="24"/>
          <w:szCs w:val="24"/>
        </w:rPr>
        <w:t>CSR berpengaruh terhadap agresivitas pajak.</w:t>
      </w:r>
      <w:r w:rsidRPr="00CC677D">
        <w:rPr>
          <w:color w:val="000000" w:themeColor="text1"/>
          <w:sz w:val="24"/>
          <w:szCs w:val="24"/>
        </w:rPr>
        <w:tab/>
      </w:r>
    </w:p>
    <w:p w:rsidR="00744E26" w:rsidRPr="00CC677D" w:rsidRDefault="00744E26" w:rsidP="00CC677D">
      <w:pPr>
        <w:jc w:val="both"/>
        <w:rPr>
          <w:b/>
          <w:sz w:val="24"/>
          <w:szCs w:val="24"/>
          <w:lang w:val="id-ID"/>
        </w:rPr>
      </w:pPr>
      <w:proofErr w:type="gramStart"/>
      <w:r w:rsidRPr="00CC677D">
        <w:rPr>
          <w:b/>
          <w:sz w:val="24"/>
          <w:szCs w:val="24"/>
        </w:rPr>
        <w:t>H</w:t>
      </w:r>
      <w:r w:rsidRPr="00CC677D">
        <w:rPr>
          <w:b/>
          <w:sz w:val="24"/>
          <w:szCs w:val="24"/>
          <w:vertAlign w:val="subscript"/>
        </w:rPr>
        <w:t>2 :</w:t>
      </w:r>
      <w:proofErr w:type="gramEnd"/>
      <w:r w:rsidRPr="00CC677D">
        <w:rPr>
          <w:b/>
          <w:sz w:val="24"/>
          <w:szCs w:val="24"/>
          <w:vertAlign w:val="subscript"/>
        </w:rPr>
        <w:t xml:space="preserve"> </w:t>
      </w:r>
      <w:r w:rsidRPr="00CC677D">
        <w:rPr>
          <w:b/>
          <w:sz w:val="24"/>
          <w:szCs w:val="24"/>
        </w:rPr>
        <w:t>Likuiditas berpengaruh terhadap agresivitas pajak.</w:t>
      </w:r>
    </w:p>
    <w:p w:rsidR="00744E26" w:rsidRPr="00CC677D" w:rsidRDefault="00744E26" w:rsidP="00CC677D">
      <w:pPr>
        <w:jc w:val="both"/>
        <w:rPr>
          <w:b/>
          <w:sz w:val="24"/>
          <w:szCs w:val="24"/>
        </w:rPr>
      </w:pPr>
      <w:proofErr w:type="gramStart"/>
      <w:r w:rsidRPr="00CC677D">
        <w:rPr>
          <w:b/>
          <w:sz w:val="24"/>
          <w:szCs w:val="24"/>
        </w:rPr>
        <w:t>H</w:t>
      </w:r>
      <w:r w:rsidRPr="00CC677D">
        <w:rPr>
          <w:b/>
          <w:sz w:val="24"/>
          <w:szCs w:val="24"/>
          <w:vertAlign w:val="subscript"/>
        </w:rPr>
        <w:t>3 :</w:t>
      </w:r>
      <w:proofErr w:type="gramEnd"/>
      <w:r w:rsidRPr="00CC677D">
        <w:rPr>
          <w:b/>
          <w:i/>
          <w:sz w:val="24"/>
          <w:szCs w:val="24"/>
          <w:vertAlign w:val="subscript"/>
        </w:rPr>
        <w:t xml:space="preserve"> </w:t>
      </w:r>
      <w:r w:rsidRPr="00CC677D">
        <w:rPr>
          <w:b/>
          <w:i/>
          <w:sz w:val="24"/>
          <w:szCs w:val="24"/>
        </w:rPr>
        <w:t>Leverage</w:t>
      </w:r>
      <w:r w:rsidRPr="00CC677D">
        <w:rPr>
          <w:b/>
          <w:sz w:val="24"/>
          <w:szCs w:val="24"/>
        </w:rPr>
        <w:t xml:space="preserve"> berpengaruh terhadap agresivitas pajak.</w:t>
      </w:r>
    </w:p>
    <w:p w:rsidR="00994263" w:rsidRDefault="00994263" w:rsidP="00CC677D">
      <w:pPr>
        <w:tabs>
          <w:tab w:val="left" w:pos="810"/>
        </w:tabs>
        <w:jc w:val="both"/>
        <w:rPr>
          <w:b/>
          <w:color w:val="000000" w:themeColor="text1"/>
          <w:sz w:val="24"/>
          <w:szCs w:val="24"/>
          <w:lang w:val="id-ID"/>
        </w:rPr>
      </w:pPr>
    </w:p>
    <w:p w:rsidR="00744E26" w:rsidRPr="00CC677D" w:rsidRDefault="00744E26" w:rsidP="00CC677D">
      <w:pPr>
        <w:tabs>
          <w:tab w:val="left" w:pos="810"/>
        </w:tabs>
        <w:jc w:val="both"/>
        <w:rPr>
          <w:b/>
          <w:color w:val="000000" w:themeColor="text1"/>
          <w:sz w:val="24"/>
          <w:szCs w:val="24"/>
          <w:lang w:val="id-ID"/>
        </w:rPr>
      </w:pPr>
      <w:r w:rsidRPr="00CC677D">
        <w:rPr>
          <w:b/>
          <w:color w:val="000000" w:themeColor="text1"/>
          <w:sz w:val="24"/>
          <w:szCs w:val="24"/>
          <w:lang w:val="id-ID"/>
        </w:rPr>
        <w:t>METODE PENELITIAN</w:t>
      </w:r>
    </w:p>
    <w:p w:rsidR="00744E26" w:rsidRPr="00CC677D" w:rsidRDefault="00744E26" w:rsidP="00CC677D">
      <w:pPr>
        <w:tabs>
          <w:tab w:val="left" w:pos="810"/>
        </w:tabs>
        <w:ind w:firstLine="540"/>
        <w:jc w:val="both"/>
        <w:rPr>
          <w:b/>
          <w:sz w:val="24"/>
          <w:szCs w:val="24"/>
          <w:lang w:val="id-ID"/>
        </w:rPr>
      </w:pPr>
      <w:r w:rsidRPr="00CC677D">
        <w:rPr>
          <w:sz w:val="24"/>
          <w:szCs w:val="24"/>
        </w:rPr>
        <w:tab/>
      </w:r>
      <w:proofErr w:type="gramStart"/>
      <w:r w:rsidRPr="00CC677D">
        <w:rPr>
          <w:sz w:val="24"/>
          <w:szCs w:val="24"/>
        </w:rPr>
        <w:t>Penelitian dilakukan di Jakarta, periode April 2018 sampai dengan selesai.</w:t>
      </w:r>
      <w:proofErr w:type="gramEnd"/>
      <w:r w:rsidRPr="00CC677D">
        <w:rPr>
          <w:sz w:val="24"/>
          <w:szCs w:val="24"/>
        </w:rPr>
        <w:t xml:space="preserve"> Objek</w:t>
      </w:r>
      <w:r w:rsidRPr="00CC677D">
        <w:rPr>
          <w:sz w:val="24"/>
          <w:szCs w:val="24"/>
          <w:lang w:val="id-ID"/>
        </w:rPr>
        <w:t xml:space="preserve"> </w:t>
      </w:r>
      <w:r w:rsidRPr="00CC677D">
        <w:rPr>
          <w:sz w:val="24"/>
          <w:szCs w:val="24"/>
        </w:rPr>
        <w:t xml:space="preserve">penelitian adalah perusahaan </w:t>
      </w:r>
      <w:r w:rsidRPr="00CC677D">
        <w:rPr>
          <w:i/>
          <w:sz w:val="24"/>
          <w:szCs w:val="24"/>
          <w:lang w:val="id-ID"/>
        </w:rPr>
        <w:t>Pertambangan</w:t>
      </w:r>
      <w:r w:rsidRPr="00CC677D">
        <w:rPr>
          <w:i/>
          <w:sz w:val="24"/>
          <w:szCs w:val="24"/>
        </w:rPr>
        <w:t xml:space="preserve"> </w:t>
      </w:r>
      <w:r w:rsidRPr="00CC677D">
        <w:rPr>
          <w:sz w:val="24"/>
          <w:szCs w:val="24"/>
        </w:rPr>
        <w:t xml:space="preserve">yang </w:t>
      </w:r>
      <w:r w:rsidRPr="00CC677D">
        <w:rPr>
          <w:i/>
          <w:sz w:val="24"/>
          <w:szCs w:val="24"/>
        </w:rPr>
        <w:t>listing</w:t>
      </w:r>
      <w:r w:rsidRPr="00CC677D">
        <w:rPr>
          <w:sz w:val="24"/>
          <w:szCs w:val="24"/>
        </w:rPr>
        <w:t xml:space="preserve"> di Bursa Efek Indonesia tahun 2014-2017</w:t>
      </w:r>
    </w:p>
    <w:p w:rsidR="00744E26" w:rsidRPr="00CC677D" w:rsidRDefault="00744E26" w:rsidP="00CC677D">
      <w:pPr>
        <w:tabs>
          <w:tab w:val="left" w:pos="810"/>
        </w:tabs>
        <w:ind w:left="540"/>
        <w:jc w:val="both"/>
        <w:rPr>
          <w:b/>
          <w:sz w:val="24"/>
          <w:szCs w:val="24"/>
          <w:lang w:val="id-ID"/>
        </w:rPr>
      </w:pPr>
    </w:p>
    <w:p w:rsidR="00744E26" w:rsidRPr="00CC677D" w:rsidRDefault="00746E01" w:rsidP="00CC677D">
      <w:pPr>
        <w:tabs>
          <w:tab w:val="left" w:pos="810"/>
        </w:tabs>
        <w:jc w:val="both"/>
        <w:rPr>
          <w:b/>
          <w:sz w:val="24"/>
          <w:szCs w:val="24"/>
          <w:lang w:val="id-ID"/>
        </w:rPr>
      </w:pPr>
      <w:r w:rsidRPr="00CC677D">
        <w:rPr>
          <w:b/>
          <w:sz w:val="24"/>
          <w:szCs w:val="24"/>
          <w:lang w:val="id-ID"/>
        </w:rPr>
        <w:t>Sampel Dan Populasi</w:t>
      </w:r>
    </w:p>
    <w:p w:rsidR="00744E26" w:rsidRPr="00CC677D" w:rsidRDefault="00744E26" w:rsidP="00CC677D">
      <w:pPr>
        <w:tabs>
          <w:tab w:val="left" w:pos="810"/>
        </w:tabs>
        <w:ind w:left="540"/>
        <w:jc w:val="both"/>
        <w:rPr>
          <w:color w:val="000000" w:themeColor="text1"/>
          <w:sz w:val="24"/>
          <w:szCs w:val="24"/>
          <w:lang w:val="id-ID"/>
        </w:rPr>
      </w:pPr>
    </w:p>
    <w:p w:rsidR="00744E26" w:rsidRPr="00CC677D" w:rsidRDefault="00744E26" w:rsidP="00CC677D">
      <w:pPr>
        <w:ind w:firstLine="360"/>
        <w:jc w:val="both"/>
        <w:rPr>
          <w:sz w:val="24"/>
          <w:szCs w:val="24"/>
        </w:rPr>
      </w:pPr>
      <w:r w:rsidRPr="00CC677D">
        <w:rPr>
          <w:color w:val="000000" w:themeColor="text1"/>
          <w:sz w:val="24"/>
          <w:szCs w:val="24"/>
          <w:lang w:val="id-ID"/>
        </w:rPr>
        <w:tab/>
      </w:r>
      <w:proofErr w:type="gramStart"/>
      <w:r w:rsidRPr="00CC677D">
        <w:rPr>
          <w:sz w:val="24"/>
          <w:szCs w:val="24"/>
        </w:rPr>
        <w:t>Populasi adalah sekelompok orang, kejadian, atau benda yang memiliki karakteristik tertentu dan dijadikan objek penelitian.</w:t>
      </w:r>
      <w:proofErr w:type="gramEnd"/>
      <w:r w:rsidRPr="00CC677D">
        <w:rPr>
          <w:sz w:val="24"/>
          <w:szCs w:val="24"/>
        </w:rPr>
        <w:t xml:space="preserve"> </w:t>
      </w:r>
      <w:proofErr w:type="gramStart"/>
      <w:r w:rsidRPr="00CC677D">
        <w:rPr>
          <w:sz w:val="24"/>
          <w:szCs w:val="24"/>
        </w:rPr>
        <w:t>Suryani dan Hendryadi (2015:190).</w:t>
      </w:r>
      <w:proofErr w:type="gramEnd"/>
      <w:r w:rsidRPr="00CC677D">
        <w:rPr>
          <w:sz w:val="24"/>
          <w:szCs w:val="24"/>
        </w:rPr>
        <w:t xml:space="preserve"> </w:t>
      </w:r>
      <w:proofErr w:type="gramStart"/>
      <w:r w:rsidRPr="00CC677D">
        <w:rPr>
          <w:sz w:val="24"/>
          <w:szCs w:val="24"/>
        </w:rPr>
        <w:t xml:space="preserve">Populasi dalam penelitian ini adalah perusahaan-perusahaan pertambangan yang terdaftar di Bursa Efek </w:t>
      </w:r>
      <w:r w:rsidRPr="00CC677D">
        <w:rPr>
          <w:sz w:val="24"/>
          <w:szCs w:val="24"/>
        </w:rPr>
        <w:lastRenderedPageBreak/>
        <w:t>Indonesia dalam tahun penelitian periode 2014-2017.</w:t>
      </w:r>
      <w:proofErr w:type="gramEnd"/>
      <w:r w:rsidRPr="00CC677D">
        <w:rPr>
          <w:sz w:val="24"/>
          <w:szCs w:val="24"/>
        </w:rPr>
        <w:t xml:space="preserve"> Alasan pemilihan perusahaan </w:t>
      </w:r>
      <w:proofErr w:type="gramStart"/>
      <w:r w:rsidR="00994263" w:rsidRPr="00994263">
        <w:rPr>
          <w:sz w:val="24"/>
          <w:szCs w:val="24"/>
          <w:lang w:val="id-ID"/>
        </w:rPr>
        <w:t>Pertambangan</w:t>
      </w:r>
      <w:r w:rsidRPr="00994263">
        <w:rPr>
          <w:sz w:val="24"/>
          <w:szCs w:val="24"/>
        </w:rPr>
        <w:t xml:space="preserve"> </w:t>
      </w:r>
      <w:r w:rsidRPr="00CC677D">
        <w:rPr>
          <w:i/>
          <w:sz w:val="24"/>
          <w:szCs w:val="24"/>
        </w:rPr>
        <w:t xml:space="preserve"> </w:t>
      </w:r>
      <w:r w:rsidRPr="00CC677D">
        <w:rPr>
          <w:sz w:val="24"/>
          <w:szCs w:val="24"/>
        </w:rPr>
        <w:t>karena</w:t>
      </w:r>
      <w:proofErr w:type="gramEnd"/>
      <w:r w:rsidRPr="00CC677D">
        <w:rPr>
          <w:sz w:val="24"/>
          <w:szCs w:val="24"/>
        </w:rPr>
        <w:t xml:space="preserve"> akhir-akhir ini kasus tindakan pajak agresif seringkali di lakukan oleh perusahaan pertambangan. </w:t>
      </w:r>
      <w:proofErr w:type="gramStart"/>
      <w:r w:rsidRPr="00CC677D">
        <w:rPr>
          <w:sz w:val="24"/>
          <w:szCs w:val="24"/>
        </w:rPr>
        <w:t>Sehingga peneliti tertarik untuk menganalisa beberapa faktor yang dapat mempengaruhi perusahaan pertambangan melakukann tindakan pajak agresif.</w:t>
      </w:r>
      <w:proofErr w:type="gramEnd"/>
    </w:p>
    <w:p w:rsidR="00744E26" w:rsidRPr="00CC677D" w:rsidRDefault="00744E26" w:rsidP="00CC677D">
      <w:pPr>
        <w:autoSpaceDE w:val="0"/>
        <w:autoSpaceDN w:val="0"/>
        <w:adjustRightInd w:val="0"/>
        <w:jc w:val="center"/>
        <w:rPr>
          <w:b/>
          <w:bCs/>
          <w:sz w:val="24"/>
          <w:szCs w:val="24"/>
        </w:rPr>
      </w:pPr>
      <w:r w:rsidRPr="00CC677D">
        <w:rPr>
          <w:b/>
          <w:bCs/>
          <w:sz w:val="24"/>
          <w:szCs w:val="24"/>
        </w:rPr>
        <w:t>Pengambilan Sampel</w:t>
      </w:r>
    </w:p>
    <w:tbl>
      <w:tblPr>
        <w:tblStyle w:val="TableGrid"/>
        <w:tblW w:w="0" w:type="auto"/>
        <w:tblLook w:val="04A0"/>
      </w:tblPr>
      <w:tblGrid>
        <w:gridCol w:w="8005"/>
        <w:gridCol w:w="990"/>
      </w:tblGrid>
      <w:tr w:rsidR="00744E26" w:rsidRPr="00CC677D" w:rsidTr="00F05E02">
        <w:tc>
          <w:tcPr>
            <w:tcW w:w="8005" w:type="dxa"/>
          </w:tcPr>
          <w:p w:rsidR="00744E26" w:rsidRPr="00CC677D" w:rsidRDefault="00744E26" w:rsidP="00CC677D">
            <w:pPr>
              <w:autoSpaceDE w:val="0"/>
              <w:autoSpaceDN w:val="0"/>
              <w:adjustRightInd w:val="0"/>
              <w:jc w:val="center"/>
              <w:rPr>
                <w:rFonts w:ascii="Times New Roman" w:hAnsi="Times New Roman" w:cs="Times New Roman"/>
                <w:sz w:val="24"/>
                <w:szCs w:val="24"/>
              </w:rPr>
            </w:pPr>
            <w:r w:rsidRPr="00CC677D">
              <w:rPr>
                <w:rFonts w:ascii="Times New Roman" w:hAnsi="Times New Roman" w:cs="Times New Roman"/>
                <w:b/>
                <w:bCs/>
                <w:sz w:val="24"/>
                <w:szCs w:val="24"/>
              </w:rPr>
              <w:t>Kriteria Sampel</w:t>
            </w:r>
          </w:p>
        </w:tc>
        <w:tc>
          <w:tcPr>
            <w:tcW w:w="990" w:type="dxa"/>
          </w:tcPr>
          <w:p w:rsidR="00744E26" w:rsidRPr="00CC677D" w:rsidRDefault="00744E26" w:rsidP="00CC677D">
            <w:pPr>
              <w:jc w:val="center"/>
              <w:rPr>
                <w:rFonts w:ascii="Times New Roman" w:hAnsi="Times New Roman" w:cs="Times New Roman"/>
                <w:sz w:val="24"/>
                <w:szCs w:val="24"/>
              </w:rPr>
            </w:pPr>
            <w:r w:rsidRPr="00CC677D">
              <w:rPr>
                <w:rFonts w:ascii="Times New Roman" w:hAnsi="Times New Roman" w:cs="Times New Roman"/>
                <w:b/>
                <w:bCs/>
                <w:sz w:val="24"/>
                <w:szCs w:val="24"/>
              </w:rPr>
              <w:t>Jumlah</w:t>
            </w:r>
          </w:p>
        </w:tc>
      </w:tr>
      <w:tr w:rsidR="00744E26" w:rsidRPr="00CC677D" w:rsidTr="00F05E02">
        <w:tc>
          <w:tcPr>
            <w:tcW w:w="8005" w:type="dxa"/>
          </w:tcPr>
          <w:p w:rsidR="00744E26" w:rsidRPr="00CC677D" w:rsidRDefault="00744E26" w:rsidP="00CC677D">
            <w:pPr>
              <w:autoSpaceDE w:val="0"/>
              <w:autoSpaceDN w:val="0"/>
              <w:adjustRightInd w:val="0"/>
              <w:rPr>
                <w:rFonts w:ascii="Times New Roman" w:hAnsi="Times New Roman" w:cs="Times New Roman"/>
                <w:sz w:val="24"/>
                <w:szCs w:val="24"/>
              </w:rPr>
            </w:pPr>
            <w:r w:rsidRPr="00CC677D">
              <w:rPr>
                <w:rFonts w:ascii="Times New Roman" w:hAnsi="Times New Roman" w:cs="Times New Roman"/>
                <w:sz w:val="24"/>
                <w:szCs w:val="24"/>
              </w:rPr>
              <w:t xml:space="preserve">Perusahaan </w:t>
            </w:r>
            <w:r w:rsidRPr="00994263">
              <w:rPr>
                <w:rFonts w:ascii="Times New Roman" w:hAnsi="Times New Roman" w:cs="Times New Roman"/>
                <w:sz w:val="24"/>
                <w:szCs w:val="24"/>
              </w:rPr>
              <w:t xml:space="preserve">Pertambangan  </w:t>
            </w:r>
            <w:r w:rsidRPr="00CC677D">
              <w:rPr>
                <w:rFonts w:ascii="Times New Roman" w:hAnsi="Times New Roman" w:cs="Times New Roman"/>
                <w:sz w:val="24"/>
                <w:szCs w:val="24"/>
              </w:rPr>
              <w:t xml:space="preserve">yang </w:t>
            </w:r>
            <w:r w:rsidRPr="00CC677D">
              <w:rPr>
                <w:rFonts w:ascii="Times New Roman" w:hAnsi="Times New Roman" w:cs="Times New Roman"/>
                <w:i/>
                <w:iCs/>
                <w:sz w:val="24"/>
                <w:szCs w:val="24"/>
              </w:rPr>
              <w:t xml:space="preserve">listing </w:t>
            </w:r>
            <w:r w:rsidRPr="00CC677D">
              <w:rPr>
                <w:rFonts w:ascii="Times New Roman" w:hAnsi="Times New Roman" w:cs="Times New Roman"/>
                <w:sz w:val="24"/>
                <w:szCs w:val="24"/>
              </w:rPr>
              <w:t>di BEI</w:t>
            </w:r>
          </w:p>
          <w:p w:rsidR="00744E26" w:rsidRPr="00CC677D" w:rsidRDefault="00744E26" w:rsidP="00CC677D">
            <w:pPr>
              <w:autoSpaceDE w:val="0"/>
              <w:autoSpaceDN w:val="0"/>
              <w:adjustRightInd w:val="0"/>
              <w:rPr>
                <w:rFonts w:ascii="Times New Roman" w:hAnsi="Times New Roman" w:cs="Times New Roman"/>
                <w:sz w:val="24"/>
                <w:szCs w:val="24"/>
              </w:rPr>
            </w:pPr>
            <w:r w:rsidRPr="00CC677D">
              <w:rPr>
                <w:rFonts w:ascii="Times New Roman" w:hAnsi="Times New Roman" w:cs="Times New Roman"/>
                <w:sz w:val="24"/>
                <w:szCs w:val="24"/>
              </w:rPr>
              <w:t>berturut-turut periode tahun 2014-2017</w:t>
            </w:r>
          </w:p>
        </w:tc>
        <w:tc>
          <w:tcPr>
            <w:tcW w:w="990"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41</w:t>
            </w:r>
          </w:p>
        </w:tc>
      </w:tr>
      <w:tr w:rsidR="00744E26" w:rsidRPr="00CC677D" w:rsidTr="00F05E02">
        <w:tc>
          <w:tcPr>
            <w:tcW w:w="8005" w:type="dxa"/>
          </w:tcPr>
          <w:p w:rsidR="00744E26" w:rsidRPr="00CC677D" w:rsidRDefault="00744E26" w:rsidP="00CC677D">
            <w:pPr>
              <w:autoSpaceDE w:val="0"/>
              <w:autoSpaceDN w:val="0"/>
              <w:adjustRightInd w:val="0"/>
              <w:rPr>
                <w:rFonts w:ascii="Times New Roman" w:hAnsi="Times New Roman" w:cs="Times New Roman"/>
                <w:sz w:val="24"/>
                <w:szCs w:val="24"/>
              </w:rPr>
            </w:pPr>
            <w:r w:rsidRPr="00CC677D">
              <w:rPr>
                <w:rFonts w:ascii="Times New Roman" w:hAnsi="Times New Roman" w:cs="Times New Roman"/>
                <w:sz w:val="24"/>
                <w:szCs w:val="24"/>
              </w:rPr>
              <w:t xml:space="preserve">Perusahaan yang tidak menerbitkan </w:t>
            </w:r>
            <w:r w:rsidRPr="00CC677D">
              <w:rPr>
                <w:rFonts w:ascii="Times New Roman" w:hAnsi="Times New Roman" w:cs="Times New Roman"/>
                <w:i/>
                <w:sz w:val="24"/>
                <w:szCs w:val="24"/>
              </w:rPr>
              <w:t>annual report</w:t>
            </w:r>
            <w:r w:rsidRPr="00CC677D">
              <w:rPr>
                <w:rFonts w:ascii="Times New Roman" w:hAnsi="Times New Roman" w:cs="Times New Roman"/>
                <w:sz w:val="24"/>
                <w:szCs w:val="24"/>
              </w:rPr>
              <w:t xml:space="preserve"> dan laporan keuangan lengkap dan berturut-turut selama periode 201</w:t>
            </w:r>
            <w:r w:rsidRPr="00CC677D">
              <w:rPr>
                <w:rFonts w:ascii="Times New Roman" w:hAnsi="Times New Roman" w:cs="Times New Roman"/>
                <w:sz w:val="24"/>
                <w:szCs w:val="24"/>
                <w:lang w:val="en-US"/>
              </w:rPr>
              <w:t>3</w:t>
            </w:r>
            <w:r w:rsidRPr="00CC677D">
              <w:rPr>
                <w:rFonts w:ascii="Times New Roman" w:hAnsi="Times New Roman" w:cs="Times New Roman"/>
                <w:sz w:val="24"/>
                <w:szCs w:val="24"/>
              </w:rPr>
              <w:t>-2017</w:t>
            </w:r>
          </w:p>
        </w:tc>
        <w:tc>
          <w:tcPr>
            <w:tcW w:w="990"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w:t>
            </w:r>
            <w:r w:rsidRPr="00CC677D">
              <w:rPr>
                <w:rFonts w:ascii="Times New Roman" w:hAnsi="Times New Roman" w:cs="Times New Roman"/>
                <w:sz w:val="24"/>
                <w:szCs w:val="24"/>
                <w:lang w:val="en-US"/>
              </w:rPr>
              <w:t>8</w:t>
            </w:r>
            <w:r w:rsidRPr="00CC677D">
              <w:rPr>
                <w:rFonts w:ascii="Times New Roman" w:hAnsi="Times New Roman" w:cs="Times New Roman"/>
                <w:sz w:val="24"/>
                <w:szCs w:val="24"/>
              </w:rPr>
              <w:t>)</w:t>
            </w:r>
          </w:p>
        </w:tc>
      </w:tr>
      <w:tr w:rsidR="00744E26" w:rsidRPr="00CC677D" w:rsidTr="00F05E02">
        <w:tc>
          <w:tcPr>
            <w:tcW w:w="8005"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Perusahaan yang mengalami kerugian dalam laporan keuangan tahun 2013-2017</w:t>
            </w:r>
          </w:p>
        </w:tc>
        <w:tc>
          <w:tcPr>
            <w:tcW w:w="990"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(1</w:t>
            </w:r>
            <w:r w:rsidRPr="00CC677D">
              <w:rPr>
                <w:rFonts w:ascii="Times New Roman" w:hAnsi="Times New Roman" w:cs="Times New Roman"/>
                <w:sz w:val="24"/>
                <w:szCs w:val="24"/>
                <w:lang w:val="en-US"/>
              </w:rPr>
              <w:t>8</w:t>
            </w:r>
            <w:r w:rsidRPr="00CC677D">
              <w:rPr>
                <w:rFonts w:ascii="Times New Roman" w:hAnsi="Times New Roman" w:cs="Times New Roman"/>
                <w:sz w:val="24"/>
                <w:szCs w:val="24"/>
              </w:rPr>
              <w:t>)</w:t>
            </w:r>
          </w:p>
        </w:tc>
      </w:tr>
      <w:tr w:rsidR="00744E26" w:rsidRPr="00CC677D" w:rsidTr="00F05E02">
        <w:trPr>
          <w:trHeight w:val="595"/>
        </w:trPr>
        <w:tc>
          <w:tcPr>
            <w:tcW w:w="8005"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Perusahaan yang tidak memberikan informasi lengkap terkait dengan penelitian.</w:t>
            </w:r>
          </w:p>
        </w:tc>
        <w:tc>
          <w:tcPr>
            <w:tcW w:w="990" w:type="dxa"/>
          </w:tcPr>
          <w:p w:rsidR="00744E26" w:rsidRPr="00CC677D" w:rsidRDefault="00744E26" w:rsidP="00CC677D">
            <w:pPr>
              <w:rPr>
                <w:rFonts w:ascii="Times New Roman" w:hAnsi="Times New Roman" w:cs="Times New Roman"/>
                <w:sz w:val="24"/>
                <w:szCs w:val="24"/>
                <w:u w:val="single"/>
              </w:rPr>
            </w:pPr>
            <w:r w:rsidRPr="00CC677D">
              <w:rPr>
                <w:rFonts w:ascii="Times New Roman" w:hAnsi="Times New Roman" w:cs="Times New Roman"/>
                <w:sz w:val="24"/>
                <w:szCs w:val="24"/>
                <w:u w:val="single"/>
              </w:rPr>
              <w:t>(1)</w:t>
            </w:r>
          </w:p>
        </w:tc>
      </w:tr>
      <w:tr w:rsidR="00744E26" w:rsidRPr="00CC677D" w:rsidTr="00F05E02">
        <w:tc>
          <w:tcPr>
            <w:tcW w:w="8005"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Jumlah sampel perusahaan</w:t>
            </w:r>
          </w:p>
        </w:tc>
        <w:tc>
          <w:tcPr>
            <w:tcW w:w="990" w:type="dxa"/>
          </w:tcPr>
          <w:p w:rsidR="00744E26" w:rsidRPr="00CC677D" w:rsidRDefault="00744E26" w:rsidP="00CC677D">
            <w:pPr>
              <w:rPr>
                <w:rFonts w:ascii="Times New Roman" w:hAnsi="Times New Roman" w:cs="Times New Roman"/>
                <w:sz w:val="24"/>
                <w:szCs w:val="24"/>
              </w:rPr>
            </w:pPr>
            <w:r w:rsidRPr="00CC677D">
              <w:rPr>
                <w:rFonts w:ascii="Times New Roman" w:hAnsi="Times New Roman" w:cs="Times New Roman"/>
                <w:sz w:val="24"/>
                <w:szCs w:val="24"/>
              </w:rPr>
              <w:t>14</w:t>
            </w:r>
          </w:p>
        </w:tc>
      </w:tr>
      <w:tr w:rsidR="00744E26" w:rsidRPr="00CC677D" w:rsidTr="00F05E02">
        <w:trPr>
          <w:trHeight w:val="208"/>
        </w:trPr>
        <w:tc>
          <w:tcPr>
            <w:tcW w:w="8005" w:type="dxa"/>
          </w:tcPr>
          <w:p w:rsidR="00744E26" w:rsidRPr="00CC677D" w:rsidRDefault="00744E26" w:rsidP="00CC677D">
            <w:pPr>
              <w:rPr>
                <w:rFonts w:ascii="Times New Roman" w:hAnsi="Times New Roman" w:cs="Times New Roman"/>
                <w:b/>
                <w:sz w:val="24"/>
                <w:szCs w:val="24"/>
              </w:rPr>
            </w:pPr>
            <w:r w:rsidRPr="00CC677D">
              <w:rPr>
                <w:rFonts w:ascii="Times New Roman" w:hAnsi="Times New Roman" w:cs="Times New Roman"/>
                <w:b/>
                <w:sz w:val="24"/>
                <w:szCs w:val="24"/>
              </w:rPr>
              <w:t>Total sampel selama periode tahun 201</w:t>
            </w:r>
            <w:r w:rsidRPr="00CC677D">
              <w:rPr>
                <w:rFonts w:ascii="Times New Roman" w:hAnsi="Times New Roman" w:cs="Times New Roman"/>
                <w:b/>
                <w:sz w:val="24"/>
                <w:szCs w:val="24"/>
                <w:lang w:val="en-US"/>
              </w:rPr>
              <w:t>3</w:t>
            </w:r>
            <w:r w:rsidRPr="00CC677D">
              <w:rPr>
                <w:rFonts w:ascii="Times New Roman" w:hAnsi="Times New Roman" w:cs="Times New Roman"/>
                <w:b/>
                <w:sz w:val="24"/>
                <w:szCs w:val="24"/>
              </w:rPr>
              <w:t>-2017</w:t>
            </w:r>
          </w:p>
        </w:tc>
        <w:tc>
          <w:tcPr>
            <w:tcW w:w="990" w:type="dxa"/>
          </w:tcPr>
          <w:p w:rsidR="00744E26" w:rsidRPr="00CC677D" w:rsidRDefault="00744E26" w:rsidP="00CC677D">
            <w:pPr>
              <w:rPr>
                <w:rFonts w:ascii="Times New Roman" w:hAnsi="Times New Roman" w:cs="Times New Roman"/>
                <w:b/>
                <w:sz w:val="24"/>
                <w:szCs w:val="24"/>
              </w:rPr>
            </w:pPr>
            <w:r w:rsidRPr="00CC677D">
              <w:rPr>
                <w:rFonts w:ascii="Times New Roman" w:hAnsi="Times New Roman" w:cs="Times New Roman"/>
                <w:b/>
                <w:sz w:val="24"/>
                <w:szCs w:val="24"/>
              </w:rPr>
              <w:t>70</w:t>
            </w:r>
          </w:p>
        </w:tc>
      </w:tr>
    </w:tbl>
    <w:p w:rsidR="00744E26" w:rsidRPr="00CC677D" w:rsidRDefault="00744E26" w:rsidP="00CC677D">
      <w:pPr>
        <w:rPr>
          <w:sz w:val="24"/>
          <w:szCs w:val="24"/>
        </w:rPr>
      </w:pPr>
      <w:proofErr w:type="gramStart"/>
      <w:r w:rsidRPr="00CC677D">
        <w:rPr>
          <w:sz w:val="24"/>
          <w:szCs w:val="24"/>
        </w:rPr>
        <w:t>Sumber :</w:t>
      </w:r>
      <w:proofErr w:type="gramEnd"/>
      <w:r w:rsidRPr="00CC677D">
        <w:rPr>
          <w:sz w:val="24"/>
          <w:szCs w:val="24"/>
        </w:rPr>
        <w:t xml:space="preserve"> Data sekunder diolah, 2018</w:t>
      </w:r>
    </w:p>
    <w:p w:rsidR="00744E26" w:rsidRPr="00CC677D" w:rsidRDefault="00744E26" w:rsidP="00CC677D">
      <w:pPr>
        <w:tabs>
          <w:tab w:val="left" w:pos="810"/>
        </w:tabs>
        <w:ind w:left="540"/>
        <w:jc w:val="both"/>
        <w:rPr>
          <w:sz w:val="24"/>
          <w:szCs w:val="24"/>
          <w:lang w:val="id-ID"/>
        </w:rPr>
      </w:pPr>
    </w:p>
    <w:p w:rsidR="00F05E02" w:rsidRPr="00CC677D" w:rsidRDefault="00F05E02" w:rsidP="00CC677D">
      <w:pPr>
        <w:tabs>
          <w:tab w:val="left" w:pos="810"/>
        </w:tabs>
        <w:jc w:val="both"/>
        <w:rPr>
          <w:b/>
          <w:sz w:val="24"/>
          <w:szCs w:val="24"/>
          <w:lang w:val="id-ID"/>
        </w:rPr>
      </w:pPr>
      <w:r w:rsidRPr="00CC677D">
        <w:rPr>
          <w:b/>
          <w:sz w:val="24"/>
          <w:szCs w:val="24"/>
          <w:lang w:val="id-ID"/>
        </w:rPr>
        <w:t>HASIL DAN PEMBAHASAN</w:t>
      </w:r>
    </w:p>
    <w:p w:rsidR="00F05E02" w:rsidRPr="00CC677D" w:rsidRDefault="00F05E02" w:rsidP="00CC677D">
      <w:pPr>
        <w:jc w:val="center"/>
        <w:rPr>
          <w:b/>
          <w:sz w:val="24"/>
          <w:szCs w:val="24"/>
          <w:lang w:val="id-ID"/>
        </w:rPr>
      </w:pPr>
    </w:p>
    <w:p w:rsidR="00744E26" w:rsidRPr="00CC677D" w:rsidRDefault="00744E26" w:rsidP="00CC677D">
      <w:pPr>
        <w:jc w:val="center"/>
        <w:rPr>
          <w:b/>
          <w:sz w:val="24"/>
          <w:szCs w:val="24"/>
        </w:rPr>
      </w:pPr>
      <w:r w:rsidRPr="00CC677D">
        <w:rPr>
          <w:b/>
          <w:sz w:val="24"/>
          <w:szCs w:val="24"/>
        </w:rPr>
        <w:t>HASIL ANALISIS DATA DESKRIPTIF</w:t>
      </w:r>
    </w:p>
    <w:tbl>
      <w:tblPr>
        <w:tblW w:w="7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9"/>
        <w:gridCol w:w="1000"/>
        <w:gridCol w:w="1181"/>
        <w:gridCol w:w="1260"/>
        <w:gridCol w:w="1000"/>
        <w:gridCol w:w="1410"/>
      </w:tblGrid>
      <w:tr w:rsidR="00744E26" w:rsidRPr="00CC677D" w:rsidTr="00F05E02">
        <w:trPr>
          <w:cantSplit/>
          <w:jc w:val="center"/>
        </w:trPr>
        <w:tc>
          <w:tcPr>
            <w:tcW w:w="7520" w:type="dxa"/>
            <w:gridSpan w:val="6"/>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Descriptive Statistics</w:t>
            </w:r>
          </w:p>
        </w:tc>
      </w:tr>
      <w:tr w:rsidR="00744E26" w:rsidRPr="00CC677D" w:rsidTr="00F05E02">
        <w:trPr>
          <w:cantSplit/>
          <w:trHeight w:val="889"/>
          <w:jc w:val="center"/>
        </w:trPr>
        <w:tc>
          <w:tcPr>
            <w:tcW w:w="1669" w:type="dxa"/>
            <w:tcBorders>
              <w:top w:val="single" w:sz="16" w:space="0" w:color="000000"/>
              <w:left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jc w:val="center"/>
              <w:rPr>
                <w:sz w:val="24"/>
                <w:szCs w:val="24"/>
              </w:rPr>
            </w:pPr>
          </w:p>
        </w:tc>
        <w:tc>
          <w:tcPr>
            <w:tcW w:w="1000"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N</w:t>
            </w:r>
          </w:p>
        </w:tc>
        <w:tc>
          <w:tcPr>
            <w:tcW w:w="1181"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Minimum</w:t>
            </w:r>
          </w:p>
        </w:tc>
        <w:tc>
          <w:tcPr>
            <w:tcW w:w="1260"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Maximum</w:t>
            </w:r>
          </w:p>
        </w:tc>
        <w:tc>
          <w:tcPr>
            <w:tcW w:w="1000"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Mean</w:t>
            </w:r>
          </w:p>
        </w:tc>
        <w:tc>
          <w:tcPr>
            <w:tcW w:w="1410"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Deviation</w:t>
            </w:r>
          </w:p>
        </w:tc>
      </w:tr>
      <w:tr w:rsidR="00744E26" w:rsidRPr="00CC677D" w:rsidTr="00F05E02">
        <w:trPr>
          <w:cantSplit/>
          <w:jc w:val="center"/>
        </w:trPr>
        <w:tc>
          <w:tcPr>
            <w:tcW w:w="1669" w:type="dxa"/>
            <w:tcBorders>
              <w:top w:val="single" w:sz="16" w:space="0" w:color="000000"/>
              <w:left w:val="single" w:sz="16" w:space="0" w:color="000000"/>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both"/>
              <w:rPr>
                <w:color w:val="000000"/>
                <w:sz w:val="24"/>
                <w:szCs w:val="24"/>
              </w:rPr>
            </w:pPr>
            <w:r w:rsidRPr="00CC677D">
              <w:rPr>
                <w:color w:val="000000"/>
                <w:sz w:val="24"/>
                <w:szCs w:val="24"/>
              </w:rPr>
              <w:t>ETR</w:t>
            </w:r>
          </w:p>
        </w:tc>
        <w:tc>
          <w:tcPr>
            <w:tcW w:w="1000" w:type="dxa"/>
            <w:tcBorders>
              <w:top w:val="single" w:sz="16" w:space="0" w:color="000000"/>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c>
          <w:tcPr>
            <w:tcW w:w="1181"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.230</w:t>
            </w:r>
          </w:p>
        </w:tc>
        <w:tc>
          <w:tcPr>
            <w:tcW w:w="126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.547</w:t>
            </w:r>
          </w:p>
        </w:tc>
        <w:tc>
          <w:tcPr>
            <w:tcW w:w="100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.32535</w:t>
            </w:r>
          </w:p>
        </w:tc>
        <w:tc>
          <w:tcPr>
            <w:tcW w:w="1410" w:type="dxa"/>
            <w:tcBorders>
              <w:top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.081833</w:t>
            </w:r>
          </w:p>
        </w:tc>
      </w:tr>
      <w:tr w:rsidR="00744E26" w:rsidRPr="00CC677D" w:rsidTr="00F05E02">
        <w:trPr>
          <w:cantSplit/>
          <w:jc w:val="center"/>
        </w:trPr>
        <w:tc>
          <w:tcPr>
            <w:tcW w:w="1669" w:type="dxa"/>
            <w:tcBorders>
              <w:top w:val="nil"/>
              <w:left w:val="single" w:sz="16" w:space="0" w:color="000000"/>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both"/>
              <w:rPr>
                <w:color w:val="000000"/>
                <w:sz w:val="24"/>
                <w:szCs w:val="24"/>
              </w:rPr>
            </w:pPr>
            <w:r w:rsidRPr="00CC677D">
              <w:rPr>
                <w:color w:val="000000"/>
                <w:sz w:val="24"/>
                <w:szCs w:val="24"/>
              </w:rPr>
              <w:t>CSR</w:t>
            </w:r>
          </w:p>
        </w:tc>
        <w:tc>
          <w:tcPr>
            <w:tcW w:w="1000"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c>
          <w:tcPr>
            <w:tcW w:w="1181"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.110</w:t>
            </w:r>
          </w:p>
        </w:tc>
        <w:tc>
          <w:tcPr>
            <w:tcW w:w="126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.571</w:t>
            </w:r>
          </w:p>
        </w:tc>
        <w:tc>
          <w:tcPr>
            <w:tcW w:w="100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.26702</w:t>
            </w:r>
          </w:p>
        </w:tc>
        <w:tc>
          <w:tcPr>
            <w:tcW w:w="141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.113845</w:t>
            </w:r>
          </w:p>
        </w:tc>
      </w:tr>
      <w:tr w:rsidR="00744E26" w:rsidRPr="00CC677D" w:rsidTr="00F05E02">
        <w:trPr>
          <w:cantSplit/>
          <w:jc w:val="center"/>
        </w:trPr>
        <w:tc>
          <w:tcPr>
            <w:tcW w:w="1669" w:type="dxa"/>
            <w:tcBorders>
              <w:top w:val="nil"/>
              <w:left w:val="single" w:sz="16" w:space="0" w:color="000000"/>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both"/>
              <w:rPr>
                <w:color w:val="000000"/>
                <w:sz w:val="24"/>
                <w:szCs w:val="24"/>
              </w:rPr>
            </w:pPr>
            <w:r w:rsidRPr="00CC677D">
              <w:rPr>
                <w:color w:val="000000"/>
                <w:sz w:val="24"/>
                <w:szCs w:val="24"/>
              </w:rPr>
              <w:t>CR</w:t>
            </w:r>
          </w:p>
        </w:tc>
        <w:tc>
          <w:tcPr>
            <w:tcW w:w="1000"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c>
          <w:tcPr>
            <w:tcW w:w="1181"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.494</w:t>
            </w:r>
          </w:p>
        </w:tc>
        <w:tc>
          <w:tcPr>
            <w:tcW w:w="126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4.298</w:t>
            </w:r>
          </w:p>
        </w:tc>
        <w:tc>
          <w:tcPr>
            <w:tcW w:w="100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1.80065</w:t>
            </w:r>
          </w:p>
        </w:tc>
        <w:tc>
          <w:tcPr>
            <w:tcW w:w="141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.872496</w:t>
            </w:r>
          </w:p>
        </w:tc>
      </w:tr>
      <w:tr w:rsidR="00744E26" w:rsidRPr="00CC677D" w:rsidTr="00F05E02">
        <w:trPr>
          <w:cantSplit/>
          <w:jc w:val="center"/>
        </w:trPr>
        <w:tc>
          <w:tcPr>
            <w:tcW w:w="1669" w:type="dxa"/>
            <w:tcBorders>
              <w:top w:val="nil"/>
              <w:left w:val="single" w:sz="16" w:space="0" w:color="000000"/>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both"/>
              <w:rPr>
                <w:color w:val="000000"/>
                <w:sz w:val="24"/>
                <w:szCs w:val="24"/>
              </w:rPr>
            </w:pPr>
            <w:r w:rsidRPr="00CC677D">
              <w:rPr>
                <w:color w:val="000000"/>
                <w:sz w:val="24"/>
                <w:szCs w:val="24"/>
              </w:rPr>
              <w:t>DER</w:t>
            </w:r>
          </w:p>
        </w:tc>
        <w:tc>
          <w:tcPr>
            <w:tcW w:w="1000"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c>
          <w:tcPr>
            <w:tcW w:w="1181"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.145</w:t>
            </w:r>
          </w:p>
        </w:tc>
        <w:tc>
          <w:tcPr>
            <w:tcW w:w="126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.795</w:t>
            </w:r>
          </w:p>
        </w:tc>
        <w:tc>
          <w:tcPr>
            <w:tcW w:w="100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.41518</w:t>
            </w:r>
          </w:p>
        </w:tc>
        <w:tc>
          <w:tcPr>
            <w:tcW w:w="141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.147351</w:t>
            </w:r>
          </w:p>
        </w:tc>
      </w:tr>
      <w:tr w:rsidR="00744E26" w:rsidRPr="00CC677D" w:rsidTr="00F05E02">
        <w:trPr>
          <w:cantSplit/>
          <w:jc w:val="center"/>
        </w:trPr>
        <w:tc>
          <w:tcPr>
            <w:tcW w:w="1669" w:type="dxa"/>
            <w:tcBorders>
              <w:top w:val="nil"/>
              <w:left w:val="single" w:sz="16" w:space="0" w:color="000000"/>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both"/>
              <w:rPr>
                <w:color w:val="000000"/>
                <w:sz w:val="24"/>
                <w:szCs w:val="24"/>
              </w:rPr>
            </w:pPr>
            <w:r w:rsidRPr="00CC677D">
              <w:rPr>
                <w:color w:val="000000"/>
                <w:sz w:val="24"/>
                <w:szCs w:val="24"/>
              </w:rPr>
              <w:t>Valid N (listwise)</w:t>
            </w:r>
          </w:p>
        </w:tc>
        <w:tc>
          <w:tcPr>
            <w:tcW w:w="1000" w:type="dxa"/>
            <w:tcBorders>
              <w:top w:val="nil"/>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c>
          <w:tcPr>
            <w:tcW w:w="1181" w:type="dxa"/>
            <w:tcBorders>
              <w:top w:val="nil"/>
              <w:bottom w:val="single" w:sz="16" w:space="0" w:color="000000"/>
            </w:tcBorders>
            <w:shd w:val="clear" w:color="auto" w:fill="FFFFFF"/>
          </w:tcPr>
          <w:p w:rsidR="00744E26" w:rsidRPr="00CC677D" w:rsidRDefault="00744E26" w:rsidP="00CC677D">
            <w:pPr>
              <w:autoSpaceDE w:val="0"/>
              <w:autoSpaceDN w:val="0"/>
              <w:adjustRightInd w:val="0"/>
              <w:jc w:val="right"/>
              <w:rPr>
                <w:sz w:val="24"/>
                <w:szCs w:val="24"/>
              </w:rPr>
            </w:pPr>
          </w:p>
        </w:tc>
        <w:tc>
          <w:tcPr>
            <w:tcW w:w="1260" w:type="dxa"/>
            <w:tcBorders>
              <w:top w:val="nil"/>
              <w:bottom w:val="single" w:sz="16" w:space="0" w:color="000000"/>
            </w:tcBorders>
            <w:shd w:val="clear" w:color="auto" w:fill="FFFFFF"/>
          </w:tcPr>
          <w:p w:rsidR="00744E26" w:rsidRPr="00CC677D" w:rsidRDefault="00744E26" w:rsidP="00CC677D">
            <w:pPr>
              <w:autoSpaceDE w:val="0"/>
              <w:autoSpaceDN w:val="0"/>
              <w:adjustRightInd w:val="0"/>
              <w:jc w:val="right"/>
              <w:rPr>
                <w:sz w:val="24"/>
                <w:szCs w:val="24"/>
              </w:rPr>
            </w:pPr>
          </w:p>
        </w:tc>
        <w:tc>
          <w:tcPr>
            <w:tcW w:w="1000" w:type="dxa"/>
            <w:tcBorders>
              <w:top w:val="nil"/>
              <w:bottom w:val="single" w:sz="16" w:space="0" w:color="000000"/>
            </w:tcBorders>
            <w:shd w:val="clear" w:color="auto" w:fill="FFFFFF"/>
          </w:tcPr>
          <w:p w:rsidR="00744E26" w:rsidRPr="00CC677D" w:rsidRDefault="00744E26" w:rsidP="00CC677D">
            <w:pPr>
              <w:autoSpaceDE w:val="0"/>
              <w:autoSpaceDN w:val="0"/>
              <w:adjustRightInd w:val="0"/>
              <w:jc w:val="right"/>
              <w:rPr>
                <w:sz w:val="24"/>
                <w:szCs w:val="24"/>
              </w:rPr>
            </w:pPr>
          </w:p>
        </w:tc>
        <w:tc>
          <w:tcPr>
            <w:tcW w:w="1410" w:type="dxa"/>
            <w:tcBorders>
              <w:top w:val="nil"/>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jc w:val="right"/>
              <w:rPr>
                <w:sz w:val="24"/>
                <w:szCs w:val="24"/>
              </w:rPr>
            </w:pPr>
          </w:p>
        </w:tc>
      </w:tr>
    </w:tbl>
    <w:p w:rsidR="00744E26" w:rsidRPr="00CC677D" w:rsidRDefault="00744E26" w:rsidP="00CC677D">
      <w:pPr>
        <w:autoSpaceDE w:val="0"/>
        <w:autoSpaceDN w:val="0"/>
        <w:adjustRightInd w:val="0"/>
        <w:jc w:val="both"/>
        <w:rPr>
          <w:i/>
          <w:sz w:val="24"/>
          <w:szCs w:val="24"/>
        </w:rPr>
      </w:pPr>
      <w:r w:rsidRPr="00CC677D">
        <w:rPr>
          <w:i/>
          <w:sz w:val="24"/>
          <w:szCs w:val="24"/>
        </w:rPr>
        <w:t xml:space="preserve">           Sumber: data sekunder yang diolah menggunakan Spss v.21, tahun 2019</w:t>
      </w:r>
    </w:p>
    <w:p w:rsidR="00744E26" w:rsidRPr="00CC677D" w:rsidRDefault="00744E26" w:rsidP="00CC677D">
      <w:pPr>
        <w:pStyle w:val="ListParagraph"/>
        <w:numPr>
          <w:ilvl w:val="0"/>
          <w:numId w:val="8"/>
        </w:numPr>
        <w:autoSpaceDE w:val="0"/>
        <w:autoSpaceDN w:val="0"/>
        <w:adjustRightInd w:val="0"/>
        <w:jc w:val="both"/>
        <w:rPr>
          <w:sz w:val="24"/>
          <w:szCs w:val="24"/>
        </w:rPr>
      </w:pPr>
      <w:r w:rsidRPr="00CC677D">
        <w:rPr>
          <w:sz w:val="24"/>
          <w:szCs w:val="24"/>
        </w:rPr>
        <w:t xml:space="preserve">Variabel Agresivitas Pajak atau </w:t>
      </w:r>
      <w:r w:rsidRPr="00CC677D">
        <w:rPr>
          <w:i/>
          <w:sz w:val="24"/>
          <w:szCs w:val="24"/>
        </w:rPr>
        <w:t>Effective Tax Rate</w:t>
      </w:r>
      <w:r w:rsidRPr="00CC677D">
        <w:rPr>
          <w:sz w:val="24"/>
          <w:szCs w:val="24"/>
        </w:rPr>
        <w:t xml:space="preserve"> (ETR) memiliki nilai </w:t>
      </w:r>
      <w:r w:rsidRPr="00CC677D">
        <w:rPr>
          <w:i/>
          <w:sz w:val="24"/>
          <w:szCs w:val="24"/>
        </w:rPr>
        <w:t>minimum</w:t>
      </w:r>
      <w:r w:rsidRPr="00CC677D">
        <w:rPr>
          <w:sz w:val="24"/>
          <w:szCs w:val="24"/>
        </w:rPr>
        <w:t xml:space="preserve"> sebesar 0,230 dimiliki oleh PT Baramulti Suksessarana Tbk (BSSR) tahun 2016 dan nilai </w:t>
      </w:r>
      <w:r w:rsidRPr="00CC677D">
        <w:rPr>
          <w:i/>
          <w:sz w:val="24"/>
          <w:szCs w:val="24"/>
        </w:rPr>
        <w:t>maximum</w:t>
      </w:r>
      <w:r w:rsidRPr="00CC677D">
        <w:rPr>
          <w:sz w:val="24"/>
          <w:szCs w:val="24"/>
        </w:rPr>
        <w:t xml:space="preserve"> jumlah ETR sebesar 0,547 dimiliki oleh PT Indo Tambangraya Megah Tbk (ITMG) tahun 2015. Sedangkan jumlah </w:t>
      </w:r>
      <w:r w:rsidRPr="00CC677D">
        <w:rPr>
          <w:i/>
          <w:sz w:val="24"/>
          <w:szCs w:val="24"/>
        </w:rPr>
        <w:t>mean</w:t>
      </w:r>
      <w:r w:rsidRPr="00CC677D">
        <w:rPr>
          <w:sz w:val="24"/>
          <w:szCs w:val="24"/>
        </w:rPr>
        <w:t xml:space="preserve"> ETR adalah sebesar 0</w:t>
      </w:r>
      <w:proofErr w:type="gramStart"/>
      <w:r w:rsidRPr="00CC677D">
        <w:rPr>
          <w:sz w:val="24"/>
          <w:szCs w:val="24"/>
        </w:rPr>
        <w:t>,32535</w:t>
      </w:r>
      <w:proofErr w:type="gramEnd"/>
      <w:r w:rsidRPr="00CC677D">
        <w:rPr>
          <w:sz w:val="24"/>
          <w:szCs w:val="24"/>
        </w:rPr>
        <w:t xml:space="preserve"> dan nilai standar deviasinya 0,81833.</w:t>
      </w:r>
    </w:p>
    <w:p w:rsidR="00744E26" w:rsidRPr="00CC677D" w:rsidRDefault="00744E26" w:rsidP="00CC677D">
      <w:pPr>
        <w:pStyle w:val="ListParagraph"/>
        <w:numPr>
          <w:ilvl w:val="0"/>
          <w:numId w:val="8"/>
        </w:numPr>
        <w:autoSpaceDE w:val="0"/>
        <w:autoSpaceDN w:val="0"/>
        <w:adjustRightInd w:val="0"/>
        <w:jc w:val="both"/>
        <w:rPr>
          <w:sz w:val="24"/>
          <w:szCs w:val="24"/>
        </w:rPr>
      </w:pPr>
      <w:r w:rsidRPr="00CC677D">
        <w:rPr>
          <w:sz w:val="24"/>
          <w:szCs w:val="24"/>
        </w:rPr>
        <w:t xml:space="preserve">Variabel </w:t>
      </w:r>
      <w:r w:rsidRPr="00CC677D">
        <w:rPr>
          <w:i/>
          <w:sz w:val="24"/>
          <w:szCs w:val="24"/>
        </w:rPr>
        <w:t>Corporate Social Responsibility</w:t>
      </w:r>
      <w:r w:rsidRPr="00CC677D">
        <w:rPr>
          <w:sz w:val="24"/>
          <w:szCs w:val="24"/>
        </w:rPr>
        <w:t xml:space="preserve"> (CSR) memiliki nilai </w:t>
      </w:r>
      <w:r w:rsidRPr="00CC677D">
        <w:rPr>
          <w:i/>
          <w:sz w:val="24"/>
          <w:szCs w:val="24"/>
        </w:rPr>
        <w:t>minimum</w:t>
      </w:r>
      <w:r w:rsidRPr="00CC677D">
        <w:rPr>
          <w:sz w:val="24"/>
          <w:szCs w:val="24"/>
        </w:rPr>
        <w:t xml:space="preserve"> sebesar 0,110 dimiliki oleh PT Radiant Utama Interinsco Tbk (RUIS) tahun 2017 dan nilai </w:t>
      </w:r>
      <w:r w:rsidRPr="00CC677D">
        <w:rPr>
          <w:i/>
          <w:sz w:val="24"/>
          <w:szCs w:val="24"/>
        </w:rPr>
        <w:t>maximum</w:t>
      </w:r>
      <w:r w:rsidRPr="00CC677D">
        <w:rPr>
          <w:sz w:val="24"/>
          <w:szCs w:val="24"/>
        </w:rPr>
        <w:t xml:space="preserve"> sebesar 0,571 dimiliki oleh PT Elnusa Tbk (ELSA) tahun 2017. Jumlah </w:t>
      </w:r>
      <w:r w:rsidRPr="00CC677D">
        <w:rPr>
          <w:i/>
          <w:sz w:val="24"/>
          <w:szCs w:val="24"/>
        </w:rPr>
        <w:t>mean</w:t>
      </w:r>
      <w:r w:rsidRPr="00CC677D">
        <w:rPr>
          <w:sz w:val="24"/>
          <w:szCs w:val="24"/>
        </w:rPr>
        <w:t xml:space="preserve"> CSR adalah sebesar 0</w:t>
      </w:r>
      <w:proofErr w:type="gramStart"/>
      <w:r w:rsidRPr="00CC677D">
        <w:rPr>
          <w:sz w:val="24"/>
          <w:szCs w:val="24"/>
        </w:rPr>
        <w:t>,26702</w:t>
      </w:r>
      <w:proofErr w:type="gramEnd"/>
      <w:r w:rsidRPr="00CC677D">
        <w:rPr>
          <w:sz w:val="24"/>
          <w:szCs w:val="24"/>
        </w:rPr>
        <w:t xml:space="preserve"> dan standar deviasinya sebesar 0,113845.</w:t>
      </w:r>
    </w:p>
    <w:p w:rsidR="00744E26" w:rsidRPr="00CC677D" w:rsidRDefault="00744E26" w:rsidP="00CC677D">
      <w:pPr>
        <w:pStyle w:val="ListParagraph"/>
        <w:numPr>
          <w:ilvl w:val="0"/>
          <w:numId w:val="8"/>
        </w:numPr>
        <w:autoSpaceDE w:val="0"/>
        <w:autoSpaceDN w:val="0"/>
        <w:adjustRightInd w:val="0"/>
        <w:jc w:val="both"/>
        <w:rPr>
          <w:sz w:val="24"/>
          <w:szCs w:val="24"/>
        </w:rPr>
      </w:pPr>
      <w:r w:rsidRPr="00CC677D">
        <w:rPr>
          <w:sz w:val="24"/>
          <w:szCs w:val="24"/>
        </w:rPr>
        <w:t xml:space="preserve">Variabel Likuiditas memiliki nilai </w:t>
      </w:r>
      <w:r w:rsidRPr="00CC677D">
        <w:rPr>
          <w:i/>
          <w:sz w:val="24"/>
          <w:szCs w:val="24"/>
        </w:rPr>
        <w:t>minimum</w:t>
      </w:r>
      <w:r w:rsidRPr="00CC677D">
        <w:rPr>
          <w:sz w:val="24"/>
          <w:szCs w:val="24"/>
        </w:rPr>
        <w:t xml:space="preserve"> sebesar 0,494 yang dimiliki oleh PT Baramulti Suksessarana Tbk (BSSR) tahun 2013 dan nilai </w:t>
      </w:r>
      <w:r w:rsidRPr="00CC677D">
        <w:rPr>
          <w:i/>
          <w:sz w:val="24"/>
          <w:szCs w:val="24"/>
        </w:rPr>
        <w:t>maximum</w:t>
      </w:r>
      <w:r w:rsidRPr="00CC677D">
        <w:rPr>
          <w:sz w:val="24"/>
          <w:szCs w:val="24"/>
        </w:rPr>
        <w:t xml:space="preserve"> sebesar 4,298 dimiliki oleh PT Samindo Resources Tbk (MYOH) tahun 2016. Sedangkan jumlah </w:t>
      </w:r>
      <w:r w:rsidRPr="00CC677D">
        <w:rPr>
          <w:i/>
          <w:sz w:val="24"/>
          <w:szCs w:val="24"/>
        </w:rPr>
        <w:t>mean</w:t>
      </w:r>
      <w:r w:rsidRPr="00CC677D">
        <w:rPr>
          <w:sz w:val="24"/>
          <w:szCs w:val="24"/>
        </w:rPr>
        <w:t xml:space="preserve"> sebesar 1</w:t>
      </w:r>
      <w:proofErr w:type="gramStart"/>
      <w:r w:rsidRPr="00CC677D">
        <w:rPr>
          <w:sz w:val="24"/>
          <w:szCs w:val="24"/>
        </w:rPr>
        <w:t>,80065</w:t>
      </w:r>
      <w:proofErr w:type="gramEnd"/>
      <w:r w:rsidRPr="00CC677D">
        <w:rPr>
          <w:sz w:val="24"/>
          <w:szCs w:val="24"/>
        </w:rPr>
        <w:t xml:space="preserve"> dan standar deviasinya sebesar 0,872496.</w:t>
      </w:r>
    </w:p>
    <w:p w:rsidR="00744E26" w:rsidRPr="00CC677D" w:rsidRDefault="00744E26" w:rsidP="00CC677D">
      <w:pPr>
        <w:pStyle w:val="ListParagraph"/>
        <w:numPr>
          <w:ilvl w:val="0"/>
          <w:numId w:val="8"/>
        </w:numPr>
        <w:autoSpaceDE w:val="0"/>
        <w:autoSpaceDN w:val="0"/>
        <w:adjustRightInd w:val="0"/>
        <w:jc w:val="both"/>
        <w:rPr>
          <w:sz w:val="24"/>
          <w:szCs w:val="24"/>
        </w:rPr>
      </w:pPr>
      <w:r w:rsidRPr="00CC677D">
        <w:rPr>
          <w:sz w:val="24"/>
          <w:szCs w:val="24"/>
        </w:rPr>
        <w:t xml:space="preserve">Variabel </w:t>
      </w:r>
      <w:r w:rsidRPr="00CC677D">
        <w:rPr>
          <w:i/>
          <w:sz w:val="24"/>
          <w:szCs w:val="24"/>
        </w:rPr>
        <w:t xml:space="preserve">Leverage </w:t>
      </w:r>
      <w:r w:rsidRPr="00CC677D">
        <w:rPr>
          <w:sz w:val="24"/>
          <w:szCs w:val="24"/>
        </w:rPr>
        <w:t xml:space="preserve">memiliki nilai </w:t>
      </w:r>
      <w:r w:rsidRPr="00CC677D">
        <w:rPr>
          <w:i/>
          <w:sz w:val="24"/>
          <w:szCs w:val="24"/>
        </w:rPr>
        <w:t xml:space="preserve">minimum </w:t>
      </w:r>
      <w:r w:rsidRPr="00CC677D">
        <w:rPr>
          <w:sz w:val="24"/>
          <w:szCs w:val="24"/>
        </w:rPr>
        <w:t xml:space="preserve">sebesar  0,145 dimiliki oleh PT Resource Alam Indonesia Tbk tahun 2016 dan nilai </w:t>
      </w:r>
      <w:r w:rsidRPr="00CC677D">
        <w:rPr>
          <w:i/>
          <w:sz w:val="24"/>
          <w:szCs w:val="24"/>
        </w:rPr>
        <w:t>maximum</w:t>
      </w:r>
      <w:r w:rsidRPr="00CC677D">
        <w:rPr>
          <w:sz w:val="24"/>
          <w:szCs w:val="24"/>
        </w:rPr>
        <w:t xml:space="preserve"> sebesar 0,795 dimiliki oleh PT Radiant Utama Interinsco Tbk tahun 2013. Sedangkan jumlah </w:t>
      </w:r>
      <w:r w:rsidRPr="00CC677D">
        <w:rPr>
          <w:i/>
          <w:sz w:val="24"/>
          <w:szCs w:val="24"/>
        </w:rPr>
        <w:t>mean</w:t>
      </w:r>
      <w:r w:rsidRPr="00CC677D">
        <w:rPr>
          <w:sz w:val="24"/>
          <w:szCs w:val="24"/>
        </w:rPr>
        <w:t xml:space="preserve"> sebesar 0</w:t>
      </w:r>
      <w:proofErr w:type="gramStart"/>
      <w:r w:rsidRPr="00CC677D">
        <w:rPr>
          <w:sz w:val="24"/>
          <w:szCs w:val="24"/>
        </w:rPr>
        <w:t>,41518</w:t>
      </w:r>
      <w:proofErr w:type="gramEnd"/>
      <w:r w:rsidRPr="00CC677D">
        <w:rPr>
          <w:sz w:val="24"/>
          <w:szCs w:val="24"/>
        </w:rPr>
        <w:t xml:space="preserve"> dan standar deviasinya sebesar 0,147351.</w:t>
      </w:r>
    </w:p>
    <w:p w:rsidR="00744E26" w:rsidRPr="00CC677D" w:rsidRDefault="00744E26" w:rsidP="00CC677D">
      <w:pPr>
        <w:tabs>
          <w:tab w:val="left" w:pos="810"/>
        </w:tabs>
        <w:ind w:left="540"/>
        <w:jc w:val="both"/>
        <w:rPr>
          <w:b/>
          <w:color w:val="000000" w:themeColor="text1"/>
          <w:sz w:val="24"/>
          <w:szCs w:val="24"/>
          <w:lang w:val="id-ID"/>
        </w:rPr>
      </w:pPr>
    </w:p>
    <w:tbl>
      <w:tblPr>
        <w:tblW w:w="52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11"/>
        <w:gridCol w:w="1417"/>
        <w:gridCol w:w="1466"/>
      </w:tblGrid>
      <w:tr w:rsidR="00744E26" w:rsidRPr="00CC677D" w:rsidTr="00F05E02">
        <w:trPr>
          <w:cantSplit/>
          <w:trHeight w:val="295"/>
          <w:jc w:val="center"/>
        </w:trPr>
        <w:tc>
          <w:tcPr>
            <w:tcW w:w="5294" w:type="dxa"/>
            <w:gridSpan w:val="3"/>
            <w:tcBorders>
              <w:top w:val="nil"/>
              <w:left w:val="nil"/>
              <w:bottom w:val="nil"/>
              <w:right w:val="nil"/>
            </w:tcBorders>
            <w:shd w:val="clear" w:color="auto" w:fill="FFFFFF"/>
          </w:tcPr>
          <w:p w:rsidR="00994263" w:rsidRDefault="00994263" w:rsidP="00CC677D">
            <w:pPr>
              <w:autoSpaceDE w:val="0"/>
              <w:autoSpaceDN w:val="0"/>
              <w:adjustRightInd w:val="0"/>
              <w:ind w:left="60" w:right="60"/>
              <w:jc w:val="center"/>
              <w:rPr>
                <w:b/>
                <w:bCs/>
                <w:color w:val="000000"/>
                <w:sz w:val="24"/>
                <w:szCs w:val="24"/>
                <w:lang w:val="id-ID"/>
              </w:rPr>
            </w:pPr>
          </w:p>
          <w:p w:rsidR="00994263" w:rsidRDefault="00994263" w:rsidP="00CC677D">
            <w:pPr>
              <w:autoSpaceDE w:val="0"/>
              <w:autoSpaceDN w:val="0"/>
              <w:adjustRightInd w:val="0"/>
              <w:ind w:left="60" w:right="60"/>
              <w:jc w:val="center"/>
              <w:rPr>
                <w:b/>
                <w:bCs/>
                <w:color w:val="000000"/>
                <w:sz w:val="24"/>
                <w:szCs w:val="24"/>
                <w:lang w:val="id-ID"/>
              </w:rPr>
            </w:pPr>
          </w:p>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One-Sample Kolmogorov-Smirnov Test</w:t>
            </w:r>
          </w:p>
        </w:tc>
      </w:tr>
      <w:tr w:rsidR="00744E26" w:rsidRPr="00CC677D" w:rsidTr="00F05E02">
        <w:trPr>
          <w:cantSplit/>
          <w:trHeight w:val="592"/>
          <w:jc w:val="center"/>
        </w:trPr>
        <w:tc>
          <w:tcPr>
            <w:tcW w:w="3828" w:type="dxa"/>
            <w:gridSpan w:val="2"/>
            <w:tcBorders>
              <w:top w:val="single" w:sz="16" w:space="0" w:color="000000"/>
              <w:left w:val="single" w:sz="16" w:space="0" w:color="000000"/>
              <w:bottom w:val="single" w:sz="16" w:space="0" w:color="000000"/>
              <w:right w:val="nil"/>
            </w:tcBorders>
            <w:shd w:val="clear" w:color="auto" w:fill="FFFFFF"/>
          </w:tcPr>
          <w:p w:rsidR="00744E26" w:rsidRPr="00CC677D" w:rsidRDefault="00744E26" w:rsidP="00CC677D">
            <w:pPr>
              <w:autoSpaceDE w:val="0"/>
              <w:autoSpaceDN w:val="0"/>
              <w:adjustRightInd w:val="0"/>
              <w:rPr>
                <w:sz w:val="24"/>
                <w:szCs w:val="24"/>
              </w:rPr>
            </w:pPr>
          </w:p>
        </w:tc>
        <w:tc>
          <w:tcPr>
            <w:tcW w:w="1466" w:type="dxa"/>
            <w:tcBorders>
              <w:top w:val="single" w:sz="16" w:space="0" w:color="000000"/>
              <w:left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Unstandardized Residual</w:t>
            </w:r>
          </w:p>
        </w:tc>
      </w:tr>
      <w:tr w:rsidR="00744E26" w:rsidRPr="00CC677D" w:rsidTr="00F05E02">
        <w:trPr>
          <w:cantSplit/>
          <w:trHeight w:val="295"/>
          <w:jc w:val="center"/>
        </w:trPr>
        <w:tc>
          <w:tcPr>
            <w:tcW w:w="3828" w:type="dxa"/>
            <w:gridSpan w:val="2"/>
            <w:tcBorders>
              <w:top w:val="single" w:sz="16" w:space="0" w:color="000000"/>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N</w:t>
            </w:r>
          </w:p>
        </w:tc>
        <w:tc>
          <w:tcPr>
            <w:tcW w:w="1466" w:type="dxa"/>
            <w:tcBorders>
              <w:top w:val="single" w:sz="16" w:space="0" w:color="000000"/>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55</w:t>
            </w:r>
          </w:p>
        </w:tc>
      </w:tr>
      <w:tr w:rsidR="00744E26" w:rsidRPr="00CC677D" w:rsidTr="00F05E02">
        <w:trPr>
          <w:cantSplit/>
          <w:trHeight w:val="295"/>
          <w:jc w:val="center"/>
        </w:trPr>
        <w:tc>
          <w:tcPr>
            <w:tcW w:w="2411" w:type="dxa"/>
            <w:vMerge w:val="restart"/>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Normal Parameters</w:t>
            </w:r>
            <w:r w:rsidRPr="00CC677D">
              <w:rPr>
                <w:color w:val="000000"/>
                <w:sz w:val="24"/>
                <w:szCs w:val="24"/>
                <w:vertAlign w:val="superscript"/>
              </w:rPr>
              <w:t>a,b</w:t>
            </w:r>
          </w:p>
        </w:tc>
        <w:tc>
          <w:tcPr>
            <w:tcW w:w="1417"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Mean</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.0000000</w:t>
            </w:r>
          </w:p>
        </w:tc>
      </w:tr>
      <w:tr w:rsidR="00744E26" w:rsidRPr="00CC677D" w:rsidTr="00F05E02">
        <w:trPr>
          <w:cantSplit/>
          <w:trHeight w:val="295"/>
          <w:jc w:val="center"/>
        </w:trPr>
        <w:tc>
          <w:tcPr>
            <w:tcW w:w="2411" w:type="dxa"/>
            <w:vMerge/>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417"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Std. Deviation</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.07220180</w:t>
            </w:r>
          </w:p>
        </w:tc>
      </w:tr>
      <w:tr w:rsidR="00744E26" w:rsidRPr="00CC677D" w:rsidTr="00F05E02">
        <w:trPr>
          <w:cantSplit/>
          <w:trHeight w:val="284"/>
          <w:jc w:val="center"/>
        </w:trPr>
        <w:tc>
          <w:tcPr>
            <w:tcW w:w="2411" w:type="dxa"/>
            <w:vMerge w:val="restart"/>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Most Extreme Differences</w:t>
            </w:r>
          </w:p>
        </w:tc>
        <w:tc>
          <w:tcPr>
            <w:tcW w:w="1417"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Absolute</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.136</w:t>
            </w:r>
          </w:p>
        </w:tc>
      </w:tr>
      <w:tr w:rsidR="00744E26" w:rsidRPr="00CC677D" w:rsidTr="00F05E02">
        <w:trPr>
          <w:cantSplit/>
          <w:trHeight w:val="295"/>
          <w:jc w:val="center"/>
        </w:trPr>
        <w:tc>
          <w:tcPr>
            <w:tcW w:w="2411" w:type="dxa"/>
            <w:vMerge/>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417"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Positive</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.136</w:t>
            </w:r>
          </w:p>
        </w:tc>
      </w:tr>
      <w:tr w:rsidR="00744E26" w:rsidRPr="00CC677D" w:rsidTr="00F05E02">
        <w:trPr>
          <w:cantSplit/>
          <w:trHeight w:val="295"/>
          <w:jc w:val="center"/>
        </w:trPr>
        <w:tc>
          <w:tcPr>
            <w:tcW w:w="2411" w:type="dxa"/>
            <w:vMerge/>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417"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Negative</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-.075</w:t>
            </w:r>
          </w:p>
        </w:tc>
      </w:tr>
      <w:tr w:rsidR="00744E26" w:rsidRPr="00CC677D" w:rsidTr="00F05E02">
        <w:trPr>
          <w:cantSplit/>
          <w:trHeight w:val="295"/>
          <w:jc w:val="center"/>
        </w:trPr>
        <w:tc>
          <w:tcPr>
            <w:tcW w:w="3828" w:type="dxa"/>
            <w:gridSpan w:val="2"/>
            <w:tcBorders>
              <w:top w:val="nil"/>
              <w:left w:val="single" w:sz="16" w:space="0" w:color="000000"/>
              <w:bottom w:val="nil"/>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Kolmogorov-Smirnov Z</w:t>
            </w:r>
          </w:p>
        </w:tc>
        <w:tc>
          <w:tcPr>
            <w:tcW w:w="1466" w:type="dxa"/>
            <w:tcBorders>
              <w:top w:val="nil"/>
              <w:left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1.007</w:t>
            </w:r>
          </w:p>
        </w:tc>
      </w:tr>
      <w:tr w:rsidR="00744E26" w:rsidRPr="00CC677D" w:rsidTr="00F05E02">
        <w:trPr>
          <w:cantSplit/>
          <w:trHeight w:val="88"/>
          <w:jc w:val="center"/>
        </w:trPr>
        <w:tc>
          <w:tcPr>
            <w:tcW w:w="3828" w:type="dxa"/>
            <w:gridSpan w:val="2"/>
            <w:tcBorders>
              <w:top w:val="nil"/>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Asymp. Sig. (2-tailed)</w:t>
            </w:r>
          </w:p>
        </w:tc>
        <w:tc>
          <w:tcPr>
            <w:tcW w:w="1466" w:type="dxa"/>
            <w:tcBorders>
              <w:top w:val="nil"/>
              <w:left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.263</w:t>
            </w:r>
          </w:p>
        </w:tc>
      </w:tr>
      <w:tr w:rsidR="00744E26" w:rsidRPr="00CC677D" w:rsidTr="00F05E02">
        <w:trPr>
          <w:cantSplit/>
          <w:trHeight w:val="295"/>
          <w:jc w:val="center"/>
        </w:trPr>
        <w:tc>
          <w:tcPr>
            <w:tcW w:w="5294" w:type="dxa"/>
            <w:gridSpan w:val="3"/>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Test distribution is Normal.</w:t>
            </w:r>
          </w:p>
        </w:tc>
      </w:tr>
      <w:tr w:rsidR="00744E26" w:rsidRPr="00CC677D" w:rsidTr="00F05E02">
        <w:trPr>
          <w:cantSplit/>
          <w:trHeight w:val="295"/>
          <w:jc w:val="center"/>
        </w:trPr>
        <w:tc>
          <w:tcPr>
            <w:tcW w:w="5294" w:type="dxa"/>
            <w:gridSpan w:val="3"/>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b. Calculated from data.</w:t>
            </w:r>
          </w:p>
        </w:tc>
      </w:tr>
    </w:tbl>
    <w:p w:rsidR="00744E26" w:rsidRPr="00CC677D" w:rsidRDefault="00744E26" w:rsidP="00CC677D">
      <w:pPr>
        <w:autoSpaceDE w:val="0"/>
        <w:autoSpaceDN w:val="0"/>
        <w:adjustRightInd w:val="0"/>
        <w:jc w:val="center"/>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994263" w:rsidP="00CC677D">
      <w:pPr>
        <w:pStyle w:val="ListParagraph"/>
        <w:autoSpaceDE w:val="0"/>
        <w:autoSpaceDN w:val="0"/>
        <w:adjustRightInd w:val="0"/>
        <w:ind w:left="-90" w:firstLine="720"/>
        <w:jc w:val="both"/>
        <w:rPr>
          <w:sz w:val="24"/>
          <w:szCs w:val="24"/>
        </w:rPr>
      </w:pPr>
      <w:proofErr w:type="gramStart"/>
      <w:r>
        <w:rPr>
          <w:sz w:val="24"/>
          <w:szCs w:val="24"/>
        </w:rPr>
        <w:t xml:space="preserve">Berdasarkan tabel </w:t>
      </w:r>
      <w:r w:rsidR="00744E26" w:rsidRPr="00CC677D">
        <w:rPr>
          <w:sz w:val="24"/>
          <w:szCs w:val="24"/>
        </w:rPr>
        <w:t xml:space="preserve">terlihat bahwa nilai signifikasi </w:t>
      </w:r>
      <w:r w:rsidR="00744E26" w:rsidRPr="00CC677D">
        <w:rPr>
          <w:i/>
          <w:sz w:val="24"/>
          <w:szCs w:val="24"/>
        </w:rPr>
        <w:t>Asymp.</w:t>
      </w:r>
      <w:proofErr w:type="gramEnd"/>
      <w:r w:rsidR="00744E26" w:rsidRPr="00CC677D">
        <w:rPr>
          <w:i/>
          <w:sz w:val="24"/>
          <w:szCs w:val="24"/>
        </w:rPr>
        <w:t xml:space="preserve"> Sig. (2-tailed)</w:t>
      </w:r>
      <w:r w:rsidR="00744E26" w:rsidRPr="00CC677D">
        <w:rPr>
          <w:sz w:val="24"/>
          <w:szCs w:val="24"/>
        </w:rPr>
        <w:t xml:space="preserve"> </w:t>
      </w:r>
      <w:proofErr w:type="gramStart"/>
      <w:r w:rsidR="00744E26" w:rsidRPr="00CC677D">
        <w:rPr>
          <w:sz w:val="24"/>
          <w:szCs w:val="24"/>
        </w:rPr>
        <w:t xml:space="preserve">sebesar </w:t>
      </w:r>
      <w:r w:rsidR="00744E26" w:rsidRPr="00CC677D">
        <w:rPr>
          <w:sz w:val="24"/>
          <w:szCs w:val="24"/>
          <w:lang w:val="id-ID"/>
        </w:rPr>
        <w:t xml:space="preserve"> </w:t>
      </w:r>
      <w:r w:rsidR="00744E26" w:rsidRPr="00CC677D">
        <w:rPr>
          <w:sz w:val="24"/>
          <w:szCs w:val="24"/>
        </w:rPr>
        <w:t>0.263</w:t>
      </w:r>
      <w:proofErr w:type="gramEnd"/>
      <w:r w:rsidR="00744E26" w:rsidRPr="00CC677D">
        <w:rPr>
          <w:sz w:val="24"/>
          <w:szCs w:val="24"/>
        </w:rPr>
        <w:t xml:space="preserve"> &gt; 0,05 sehingga dapat disimpulkan data residual terdistribusi normal.</w:t>
      </w:r>
    </w:p>
    <w:p w:rsidR="00744E26" w:rsidRPr="00CC677D" w:rsidRDefault="00744E26" w:rsidP="00CC677D">
      <w:pPr>
        <w:tabs>
          <w:tab w:val="left" w:pos="810"/>
        </w:tabs>
        <w:ind w:left="540" w:firstLine="540"/>
        <w:jc w:val="both"/>
        <w:rPr>
          <w:color w:val="000000" w:themeColor="text1"/>
          <w:sz w:val="24"/>
          <w:szCs w:val="24"/>
          <w:lang w:val="id-ID"/>
        </w:rPr>
      </w:pPr>
    </w:p>
    <w:p w:rsidR="00744E26" w:rsidRPr="00CC677D" w:rsidRDefault="00744E26" w:rsidP="00CC677D">
      <w:pPr>
        <w:pStyle w:val="ListParagraph"/>
        <w:autoSpaceDE w:val="0"/>
        <w:autoSpaceDN w:val="0"/>
        <w:adjustRightInd w:val="0"/>
        <w:ind w:left="360"/>
        <w:jc w:val="center"/>
        <w:rPr>
          <w:b/>
          <w:sz w:val="24"/>
          <w:szCs w:val="24"/>
        </w:rPr>
      </w:pPr>
      <w:r w:rsidRPr="00CC677D">
        <w:rPr>
          <w:b/>
          <w:sz w:val="24"/>
          <w:szCs w:val="24"/>
        </w:rPr>
        <w:t>HASIL UJI MULTIKOLONIERITAS</w:t>
      </w:r>
    </w:p>
    <w:tbl>
      <w:tblPr>
        <w:tblW w:w="822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8"/>
        <w:gridCol w:w="1360"/>
        <w:gridCol w:w="720"/>
        <w:gridCol w:w="1170"/>
        <w:gridCol w:w="1440"/>
        <w:gridCol w:w="810"/>
        <w:gridCol w:w="720"/>
        <w:gridCol w:w="1170"/>
        <w:gridCol w:w="720"/>
      </w:tblGrid>
      <w:tr w:rsidR="00744E26" w:rsidRPr="00CC677D" w:rsidTr="00F05E02">
        <w:trPr>
          <w:cantSplit/>
        </w:trPr>
        <w:tc>
          <w:tcPr>
            <w:tcW w:w="8228" w:type="dxa"/>
            <w:gridSpan w:val="9"/>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Coefficients</w:t>
            </w:r>
            <w:r w:rsidRPr="00CC677D">
              <w:rPr>
                <w:b/>
                <w:bCs/>
                <w:color w:val="000000"/>
                <w:sz w:val="24"/>
                <w:szCs w:val="24"/>
                <w:vertAlign w:val="superscript"/>
              </w:rPr>
              <w:t>a</w:t>
            </w:r>
          </w:p>
        </w:tc>
      </w:tr>
      <w:tr w:rsidR="00744E26" w:rsidRPr="00CC677D" w:rsidTr="00F05E02">
        <w:trPr>
          <w:cantSplit/>
          <w:trHeight w:val="965"/>
        </w:trPr>
        <w:tc>
          <w:tcPr>
            <w:tcW w:w="1478" w:type="dxa"/>
            <w:gridSpan w:val="2"/>
            <w:vMerge w:val="restart"/>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1890" w:type="dxa"/>
            <w:gridSpan w:val="2"/>
            <w:tcBorders>
              <w:top w:val="single" w:sz="16" w:space="0" w:color="000000"/>
              <w:lef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Unstandardized Coefficients</w:t>
            </w:r>
          </w:p>
        </w:tc>
        <w:tc>
          <w:tcPr>
            <w:tcW w:w="1440" w:type="dxa"/>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Standardized Coefficients</w:t>
            </w:r>
          </w:p>
        </w:tc>
        <w:tc>
          <w:tcPr>
            <w:tcW w:w="810" w:type="dxa"/>
            <w:vMerge w:val="restart"/>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T</w:t>
            </w:r>
          </w:p>
        </w:tc>
        <w:tc>
          <w:tcPr>
            <w:tcW w:w="720" w:type="dxa"/>
            <w:vMerge w:val="restart"/>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Sig.</w:t>
            </w:r>
          </w:p>
        </w:tc>
        <w:tc>
          <w:tcPr>
            <w:tcW w:w="1890" w:type="dxa"/>
            <w:gridSpan w:val="2"/>
            <w:tcBorders>
              <w:top w:val="single" w:sz="18" w:space="0" w:color="000000"/>
              <w:right w:val="single" w:sz="12" w:space="0" w:color="auto"/>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Collinearity Statistics</w:t>
            </w:r>
          </w:p>
          <w:p w:rsidR="00744E26" w:rsidRPr="00CC677D" w:rsidRDefault="00744E26" w:rsidP="00CC677D">
            <w:pPr>
              <w:autoSpaceDE w:val="0"/>
              <w:autoSpaceDN w:val="0"/>
              <w:adjustRightInd w:val="0"/>
              <w:ind w:left="60" w:right="60"/>
              <w:jc w:val="center"/>
              <w:rPr>
                <w:color w:val="000000"/>
                <w:sz w:val="24"/>
                <w:szCs w:val="24"/>
              </w:rPr>
            </w:pPr>
          </w:p>
        </w:tc>
      </w:tr>
      <w:tr w:rsidR="00744E26" w:rsidRPr="00CC677D" w:rsidTr="00F05E02">
        <w:trPr>
          <w:cantSplit/>
        </w:trPr>
        <w:tc>
          <w:tcPr>
            <w:tcW w:w="1478" w:type="dxa"/>
            <w:gridSpan w:val="2"/>
            <w:vMerge/>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rPr>
                <w:color w:val="000000"/>
                <w:sz w:val="24"/>
                <w:szCs w:val="24"/>
              </w:rPr>
            </w:pPr>
          </w:p>
        </w:tc>
        <w:tc>
          <w:tcPr>
            <w:tcW w:w="720" w:type="dxa"/>
            <w:tcBorders>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w:t>
            </w:r>
          </w:p>
        </w:tc>
        <w:tc>
          <w:tcPr>
            <w:tcW w:w="1170"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Error</w:t>
            </w:r>
          </w:p>
        </w:tc>
        <w:tc>
          <w:tcPr>
            <w:tcW w:w="1440"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Beta</w:t>
            </w:r>
          </w:p>
        </w:tc>
        <w:tc>
          <w:tcPr>
            <w:tcW w:w="810" w:type="dxa"/>
            <w:vMerge/>
            <w:tcBorders>
              <w:top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c>
          <w:tcPr>
            <w:tcW w:w="720" w:type="dxa"/>
            <w:vMerge/>
            <w:tcBorders>
              <w:top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c>
          <w:tcPr>
            <w:tcW w:w="1170"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Tolerance</w:t>
            </w:r>
          </w:p>
        </w:tc>
        <w:tc>
          <w:tcPr>
            <w:tcW w:w="720" w:type="dxa"/>
            <w:tcBorders>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VIF</w:t>
            </w:r>
          </w:p>
        </w:tc>
      </w:tr>
      <w:tr w:rsidR="00744E26" w:rsidRPr="00CC677D" w:rsidTr="00F05E02">
        <w:trPr>
          <w:cantSplit/>
        </w:trPr>
        <w:tc>
          <w:tcPr>
            <w:tcW w:w="118" w:type="dxa"/>
            <w:vMerge w:val="restart"/>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p>
        </w:tc>
        <w:tc>
          <w:tcPr>
            <w:tcW w:w="1360" w:type="dxa"/>
            <w:tcBorders>
              <w:top w:val="single" w:sz="16" w:space="0" w:color="000000"/>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hanging="50"/>
              <w:rPr>
                <w:color w:val="000000"/>
                <w:sz w:val="24"/>
                <w:szCs w:val="24"/>
              </w:rPr>
            </w:pPr>
            <w:r w:rsidRPr="00CC677D">
              <w:rPr>
                <w:color w:val="000000"/>
                <w:sz w:val="24"/>
                <w:szCs w:val="24"/>
              </w:rPr>
              <w:t>1 (Constant)</w:t>
            </w:r>
          </w:p>
        </w:tc>
        <w:tc>
          <w:tcPr>
            <w:tcW w:w="720" w:type="dxa"/>
            <w:tcBorders>
              <w:top w:val="single" w:sz="16" w:space="0" w:color="000000"/>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.290</w:t>
            </w:r>
          </w:p>
        </w:tc>
        <w:tc>
          <w:tcPr>
            <w:tcW w:w="117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.062</w:t>
            </w:r>
          </w:p>
        </w:tc>
        <w:tc>
          <w:tcPr>
            <w:tcW w:w="1440" w:type="dxa"/>
            <w:tcBorders>
              <w:top w:val="single" w:sz="16" w:space="0" w:color="000000"/>
              <w:bottom w:val="nil"/>
            </w:tcBorders>
            <w:shd w:val="clear" w:color="auto" w:fill="FFFFFF"/>
          </w:tcPr>
          <w:p w:rsidR="00744E26" w:rsidRPr="00CC677D" w:rsidRDefault="00744E26" w:rsidP="00CC677D">
            <w:pPr>
              <w:autoSpaceDE w:val="0"/>
              <w:autoSpaceDN w:val="0"/>
              <w:adjustRightInd w:val="0"/>
              <w:rPr>
                <w:sz w:val="24"/>
                <w:szCs w:val="24"/>
              </w:rPr>
            </w:pPr>
          </w:p>
        </w:tc>
        <w:tc>
          <w:tcPr>
            <w:tcW w:w="81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4.646</w:t>
            </w:r>
          </w:p>
        </w:tc>
        <w:tc>
          <w:tcPr>
            <w:tcW w:w="72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.000</w:t>
            </w:r>
          </w:p>
        </w:tc>
        <w:tc>
          <w:tcPr>
            <w:tcW w:w="1170" w:type="dxa"/>
            <w:tcBorders>
              <w:top w:val="single" w:sz="16" w:space="0" w:color="000000"/>
              <w:bottom w:val="nil"/>
            </w:tcBorders>
            <w:shd w:val="clear" w:color="auto" w:fill="FFFFFF"/>
          </w:tcPr>
          <w:p w:rsidR="00744E26" w:rsidRPr="00CC677D" w:rsidRDefault="00744E26" w:rsidP="00CC677D">
            <w:pPr>
              <w:autoSpaceDE w:val="0"/>
              <w:autoSpaceDN w:val="0"/>
              <w:adjustRightInd w:val="0"/>
              <w:rPr>
                <w:sz w:val="24"/>
                <w:szCs w:val="24"/>
              </w:rPr>
            </w:pPr>
          </w:p>
        </w:tc>
        <w:tc>
          <w:tcPr>
            <w:tcW w:w="720" w:type="dxa"/>
            <w:tcBorders>
              <w:top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rPr>
                <w:sz w:val="24"/>
                <w:szCs w:val="24"/>
              </w:rPr>
            </w:pPr>
          </w:p>
        </w:tc>
      </w:tr>
      <w:tr w:rsidR="00744E26" w:rsidRPr="00CC677D" w:rsidTr="00F05E02">
        <w:trPr>
          <w:cantSplit/>
        </w:trPr>
        <w:tc>
          <w:tcPr>
            <w:tcW w:w="118"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sz w:val="24"/>
                <w:szCs w:val="24"/>
              </w:rPr>
            </w:pPr>
          </w:p>
        </w:tc>
        <w:tc>
          <w:tcPr>
            <w:tcW w:w="1360"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CSR</w:t>
            </w:r>
          </w:p>
        </w:tc>
        <w:tc>
          <w:tcPr>
            <w:tcW w:w="720"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-.192</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.090</w:t>
            </w:r>
          </w:p>
        </w:tc>
        <w:tc>
          <w:tcPr>
            <w:tcW w:w="144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-.267</w:t>
            </w:r>
          </w:p>
        </w:tc>
        <w:tc>
          <w:tcPr>
            <w:tcW w:w="81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-2.118</w:t>
            </w:r>
          </w:p>
        </w:tc>
        <w:tc>
          <w:tcPr>
            <w:tcW w:w="72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.039</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.963</w:t>
            </w:r>
          </w:p>
        </w:tc>
        <w:tc>
          <w:tcPr>
            <w:tcW w:w="72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1.038</w:t>
            </w:r>
          </w:p>
        </w:tc>
      </w:tr>
      <w:tr w:rsidR="00744E26" w:rsidRPr="00CC677D" w:rsidTr="00F05E02">
        <w:trPr>
          <w:cantSplit/>
        </w:trPr>
        <w:tc>
          <w:tcPr>
            <w:tcW w:w="118"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360"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CR</w:t>
            </w:r>
          </w:p>
        </w:tc>
        <w:tc>
          <w:tcPr>
            <w:tcW w:w="720"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.002</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.014</w:t>
            </w:r>
          </w:p>
        </w:tc>
        <w:tc>
          <w:tcPr>
            <w:tcW w:w="144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.026</w:t>
            </w:r>
          </w:p>
        </w:tc>
        <w:tc>
          <w:tcPr>
            <w:tcW w:w="81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.175</w:t>
            </w:r>
          </w:p>
        </w:tc>
        <w:tc>
          <w:tcPr>
            <w:tcW w:w="72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.862</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.671</w:t>
            </w:r>
          </w:p>
        </w:tc>
        <w:tc>
          <w:tcPr>
            <w:tcW w:w="72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1.490</w:t>
            </w:r>
          </w:p>
        </w:tc>
      </w:tr>
      <w:tr w:rsidR="00744E26" w:rsidRPr="00CC677D" w:rsidTr="00F05E02">
        <w:trPr>
          <w:cantSplit/>
          <w:trHeight w:val="30"/>
        </w:trPr>
        <w:tc>
          <w:tcPr>
            <w:tcW w:w="118"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360" w:type="dxa"/>
            <w:tcBorders>
              <w:top w:val="nil"/>
              <w:left w:val="nil"/>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DER</w:t>
            </w:r>
          </w:p>
        </w:tc>
        <w:tc>
          <w:tcPr>
            <w:tcW w:w="720" w:type="dxa"/>
            <w:tcBorders>
              <w:top w:val="nil"/>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.197</w:t>
            </w:r>
          </w:p>
        </w:tc>
        <w:tc>
          <w:tcPr>
            <w:tcW w:w="117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.085</w:t>
            </w:r>
          </w:p>
        </w:tc>
        <w:tc>
          <w:tcPr>
            <w:tcW w:w="144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.354</w:t>
            </w:r>
          </w:p>
        </w:tc>
        <w:tc>
          <w:tcPr>
            <w:tcW w:w="81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2.317</w:t>
            </w:r>
          </w:p>
        </w:tc>
        <w:tc>
          <w:tcPr>
            <w:tcW w:w="72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.025</w:t>
            </w:r>
          </w:p>
        </w:tc>
        <w:tc>
          <w:tcPr>
            <w:tcW w:w="117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.652</w:t>
            </w:r>
          </w:p>
        </w:tc>
        <w:tc>
          <w:tcPr>
            <w:tcW w:w="720" w:type="dxa"/>
            <w:tcBorders>
              <w:top w:val="nil"/>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1.533</w:t>
            </w:r>
          </w:p>
        </w:tc>
      </w:tr>
      <w:tr w:rsidR="00744E26" w:rsidRPr="00CC677D" w:rsidTr="00F05E02">
        <w:trPr>
          <w:cantSplit/>
        </w:trPr>
        <w:tc>
          <w:tcPr>
            <w:tcW w:w="8228" w:type="dxa"/>
            <w:gridSpan w:val="9"/>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Dependent Variable: ETR</w:t>
            </w:r>
          </w:p>
        </w:tc>
      </w:tr>
    </w:tbl>
    <w:p w:rsidR="00744E26" w:rsidRPr="00CC677D" w:rsidRDefault="00744E26" w:rsidP="00CC677D">
      <w:pPr>
        <w:autoSpaceDE w:val="0"/>
        <w:autoSpaceDN w:val="0"/>
        <w:adjustRightInd w:val="0"/>
        <w:rPr>
          <w:i/>
          <w:sz w:val="24"/>
          <w:szCs w:val="24"/>
        </w:rPr>
      </w:pPr>
      <w:r w:rsidRPr="00CC677D">
        <w:rPr>
          <w:i/>
          <w:sz w:val="24"/>
          <w:szCs w:val="24"/>
          <w:lang w:val="id-ID"/>
        </w:rPr>
        <w:t xml:space="preserve"> </w:t>
      </w: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994263" w:rsidP="00CC677D">
      <w:pPr>
        <w:autoSpaceDE w:val="0"/>
        <w:autoSpaceDN w:val="0"/>
        <w:adjustRightInd w:val="0"/>
        <w:ind w:firstLine="630"/>
        <w:jc w:val="both"/>
        <w:rPr>
          <w:sz w:val="24"/>
          <w:szCs w:val="24"/>
        </w:rPr>
      </w:pPr>
      <w:r>
        <w:rPr>
          <w:sz w:val="24"/>
          <w:szCs w:val="24"/>
        </w:rPr>
        <w:t>Berdasarkan tabel</w:t>
      </w:r>
      <w:r w:rsidR="00744E26" w:rsidRPr="00CC677D">
        <w:rPr>
          <w:sz w:val="24"/>
          <w:szCs w:val="24"/>
        </w:rPr>
        <w:t xml:space="preserve"> diatas, diketahui hasil perhitungan menunjukkan bahwa seluruh variabel memiliki nilai </w:t>
      </w:r>
      <w:r w:rsidR="00744E26" w:rsidRPr="00CC677D">
        <w:rPr>
          <w:i/>
          <w:sz w:val="24"/>
          <w:szCs w:val="24"/>
        </w:rPr>
        <w:t>tolerance</w:t>
      </w:r>
      <w:r w:rsidR="00744E26" w:rsidRPr="00CC677D">
        <w:rPr>
          <w:sz w:val="24"/>
          <w:szCs w:val="24"/>
        </w:rPr>
        <w:t xml:space="preserve"> dalam pengujian &gt; 0</w:t>
      </w:r>
      <w:proofErr w:type="gramStart"/>
      <w:r w:rsidR="00744E26" w:rsidRPr="00CC677D">
        <w:rPr>
          <w:sz w:val="24"/>
          <w:szCs w:val="24"/>
        </w:rPr>
        <w:t>,10</w:t>
      </w:r>
      <w:proofErr w:type="gramEnd"/>
      <w:r w:rsidR="00744E26" w:rsidRPr="00CC677D">
        <w:rPr>
          <w:sz w:val="24"/>
          <w:szCs w:val="24"/>
        </w:rPr>
        <w:t xml:space="preserve"> dan seluruh nilai VIF dalam pengujian &lt; 10. Dimana nilai </w:t>
      </w:r>
      <w:r w:rsidR="00744E26" w:rsidRPr="00CC677D">
        <w:rPr>
          <w:i/>
          <w:sz w:val="24"/>
          <w:szCs w:val="24"/>
        </w:rPr>
        <w:t xml:space="preserve">tolerance </w:t>
      </w:r>
      <w:r w:rsidR="00744E26" w:rsidRPr="00CC677D">
        <w:rPr>
          <w:sz w:val="24"/>
          <w:szCs w:val="24"/>
        </w:rPr>
        <w:t>variabel CSR sebesar 0,963 berarti (0,963 &gt; 0</w:t>
      </w:r>
      <w:proofErr w:type="gramStart"/>
      <w:r w:rsidR="00744E26" w:rsidRPr="00CC677D">
        <w:rPr>
          <w:sz w:val="24"/>
          <w:szCs w:val="24"/>
        </w:rPr>
        <w:t>,10</w:t>
      </w:r>
      <w:proofErr w:type="gramEnd"/>
      <w:r w:rsidR="00744E26" w:rsidRPr="00CC677D">
        <w:rPr>
          <w:sz w:val="24"/>
          <w:szCs w:val="24"/>
        </w:rPr>
        <w:t>), CR sebesar 0,671 berarti (0,671 &gt; 0,10) dan DER sebesar 0,652 berarti (0,652 &gt; 0,10). Sedangkan nilai VIF variabel CSR sebesar 1,038 berarti (1,038 &gt; 0</w:t>
      </w:r>
      <w:proofErr w:type="gramStart"/>
      <w:r w:rsidR="00744E26" w:rsidRPr="00CC677D">
        <w:rPr>
          <w:sz w:val="24"/>
          <w:szCs w:val="24"/>
        </w:rPr>
        <w:t>,10</w:t>
      </w:r>
      <w:proofErr w:type="gramEnd"/>
      <w:r w:rsidR="00744E26" w:rsidRPr="00CC677D">
        <w:rPr>
          <w:sz w:val="24"/>
          <w:szCs w:val="24"/>
        </w:rPr>
        <w:t xml:space="preserve">), CR sebesar 1,490 berarti (1,490 &gt; 0,10) dan DER sebesar 1,533 berarti (1,533 &gt; 0,10). </w:t>
      </w:r>
      <w:proofErr w:type="gramStart"/>
      <w:r w:rsidR="00744E26" w:rsidRPr="00CC677D">
        <w:rPr>
          <w:sz w:val="24"/>
          <w:szCs w:val="24"/>
        </w:rPr>
        <w:t>Jadi disimpulkan bahwa tidak ada multikolonieritas antar variabel independen dalam model regresi.</w:t>
      </w:r>
      <w:proofErr w:type="gramEnd"/>
    </w:p>
    <w:p w:rsidR="00744E26" w:rsidRPr="00CC677D" w:rsidRDefault="00744E26" w:rsidP="00CC677D">
      <w:pPr>
        <w:pStyle w:val="SubStyle1"/>
        <w:rPr>
          <w:sz w:val="24"/>
        </w:rPr>
      </w:pPr>
    </w:p>
    <w:p w:rsidR="00744E26" w:rsidRPr="00CC677D" w:rsidRDefault="00744E26" w:rsidP="00CC677D">
      <w:pPr>
        <w:autoSpaceDE w:val="0"/>
        <w:autoSpaceDN w:val="0"/>
        <w:adjustRightInd w:val="0"/>
        <w:jc w:val="both"/>
        <w:rPr>
          <w:b/>
          <w:sz w:val="24"/>
          <w:szCs w:val="24"/>
        </w:rPr>
      </w:pPr>
      <w:r w:rsidRPr="00CC677D">
        <w:rPr>
          <w:b/>
          <w:sz w:val="24"/>
          <w:szCs w:val="24"/>
        </w:rPr>
        <w:t>Uji Heteroskedastisitas</w:t>
      </w:r>
    </w:p>
    <w:p w:rsidR="00744E26" w:rsidRPr="00CC677D" w:rsidRDefault="00744E26" w:rsidP="00CC677D">
      <w:pPr>
        <w:pStyle w:val="ListParagraph"/>
        <w:autoSpaceDE w:val="0"/>
        <w:autoSpaceDN w:val="0"/>
        <w:adjustRightInd w:val="0"/>
        <w:ind w:left="0" w:firstLine="630"/>
        <w:jc w:val="both"/>
        <w:rPr>
          <w:sz w:val="24"/>
          <w:szCs w:val="24"/>
        </w:rPr>
      </w:pPr>
      <w:proofErr w:type="gramStart"/>
      <w:r w:rsidRPr="00CC677D">
        <w:rPr>
          <w:sz w:val="24"/>
          <w:szCs w:val="24"/>
        </w:rPr>
        <w:t xml:space="preserve">Uji heteroskedastisitas dilakukan dengan menggunakan grafik </w:t>
      </w:r>
      <w:r w:rsidRPr="00CC677D">
        <w:rPr>
          <w:i/>
          <w:sz w:val="24"/>
          <w:szCs w:val="24"/>
        </w:rPr>
        <w:t xml:space="preserve">scatterplot </w:t>
      </w:r>
      <w:r w:rsidRPr="00CC677D">
        <w:rPr>
          <w:sz w:val="24"/>
          <w:szCs w:val="24"/>
        </w:rPr>
        <w:t xml:space="preserve">dan uji statistik </w:t>
      </w:r>
      <w:r w:rsidRPr="00CC677D">
        <w:rPr>
          <w:i/>
          <w:sz w:val="24"/>
          <w:szCs w:val="24"/>
        </w:rPr>
        <w:t>glejser.</w:t>
      </w:r>
      <w:proofErr w:type="gramEnd"/>
      <w:r w:rsidRPr="00CC677D">
        <w:rPr>
          <w:i/>
          <w:sz w:val="24"/>
          <w:szCs w:val="24"/>
        </w:rPr>
        <w:t xml:space="preserve"> </w:t>
      </w:r>
      <w:r w:rsidRPr="00CC677D">
        <w:rPr>
          <w:sz w:val="24"/>
          <w:szCs w:val="24"/>
        </w:rPr>
        <w:t xml:space="preserve">Berikut hasil pengujian menggunakan grafik </w:t>
      </w:r>
      <w:proofErr w:type="gramStart"/>
      <w:r w:rsidRPr="00CC677D">
        <w:rPr>
          <w:i/>
          <w:sz w:val="24"/>
          <w:szCs w:val="24"/>
        </w:rPr>
        <w:t xml:space="preserve">scatterplot </w:t>
      </w:r>
      <w:r w:rsidRPr="00CC677D">
        <w:rPr>
          <w:sz w:val="24"/>
          <w:szCs w:val="24"/>
        </w:rPr>
        <w:t>:</w:t>
      </w:r>
      <w:proofErr w:type="gramEnd"/>
    </w:p>
    <w:p w:rsidR="00744E26" w:rsidRPr="00CC677D" w:rsidRDefault="00744E26" w:rsidP="00CC677D">
      <w:pPr>
        <w:autoSpaceDE w:val="0"/>
        <w:autoSpaceDN w:val="0"/>
        <w:adjustRightInd w:val="0"/>
        <w:jc w:val="center"/>
        <w:rPr>
          <w:sz w:val="24"/>
          <w:szCs w:val="24"/>
        </w:rPr>
      </w:pPr>
      <w:r w:rsidRPr="00CC677D">
        <w:rPr>
          <w:noProof/>
          <w:sz w:val="24"/>
          <w:szCs w:val="24"/>
          <w:lang w:val="id-ID" w:eastAsia="id-ID"/>
        </w:rPr>
        <w:lastRenderedPageBreak/>
        <w:drawing>
          <wp:inline distT="0" distB="0" distL="0" distR="0">
            <wp:extent cx="2523744" cy="2020954"/>
            <wp:effectExtent l="0" t="0" r="0" b="0"/>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722" cy="2038553"/>
                    </a:xfrm>
                    <a:prstGeom prst="rect">
                      <a:avLst/>
                    </a:prstGeom>
                    <a:noFill/>
                    <a:ln>
                      <a:noFill/>
                    </a:ln>
                  </pic:spPr>
                </pic:pic>
              </a:graphicData>
            </a:graphic>
          </wp:inline>
        </w:drawing>
      </w:r>
    </w:p>
    <w:p w:rsidR="00744E26" w:rsidRPr="00CC677D" w:rsidRDefault="00744E26" w:rsidP="00CC677D">
      <w:pPr>
        <w:pStyle w:val="ListParagraph"/>
        <w:autoSpaceDE w:val="0"/>
        <w:autoSpaceDN w:val="0"/>
        <w:adjustRightInd w:val="0"/>
        <w:ind w:left="0"/>
        <w:jc w:val="center"/>
        <w:rPr>
          <w:b/>
          <w:i/>
          <w:sz w:val="24"/>
          <w:szCs w:val="24"/>
        </w:rPr>
      </w:pPr>
      <w:r w:rsidRPr="00CC677D">
        <w:rPr>
          <w:b/>
          <w:sz w:val="24"/>
          <w:szCs w:val="24"/>
        </w:rPr>
        <w:t xml:space="preserve">HASIL UJI HETEROSKEDASTISITAS DENGAN </w:t>
      </w:r>
      <w:r w:rsidRPr="00CC677D">
        <w:rPr>
          <w:b/>
          <w:i/>
          <w:sz w:val="24"/>
          <w:szCs w:val="24"/>
        </w:rPr>
        <w:t>SCATTERPLOT</w:t>
      </w:r>
    </w:p>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540"/>
        <w:jc w:val="both"/>
        <w:rPr>
          <w:sz w:val="24"/>
          <w:szCs w:val="24"/>
        </w:rPr>
      </w:pPr>
      <w:proofErr w:type="gramStart"/>
      <w:r w:rsidRPr="00CC677D">
        <w:rPr>
          <w:sz w:val="24"/>
          <w:szCs w:val="24"/>
        </w:rPr>
        <w:t xml:space="preserve">Berdasarkan hasil pengujian menggunakan </w:t>
      </w:r>
      <w:r w:rsidRPr="00CC677D">
        <w:rPr>
          <w:i/>
          <w:sz w:val="24"/>
          <w:szCs w:val="24"/>
        </w:rPr>
        <w:t xml:space="preserve">scatterplot </w:t>
      </w:r>
      <w:r w:rsidR="00994263">
        <w:rPr>
          <w:sz w:val="24"/>
          <w:szCs w:val="24"/>
        </w:rPr>
        <w:t xml:space="preserve">pada gambar </w:t>
      </w:r>
      <w:r w:rsidRPr="00CC677D">
        <w:rPr>
          <w:sz w:val="24"/>
          <w:szCs w:val="24"/>
        </w:rPr>
        <w:t>titik-titik menyebar di atas maupun di bawah titik 0 dan tidak membentuk pola tertentu.</w:t>
      </w:r>
      <w:proofErr w:type="gramEnd"/>
      <w:r w:rsidRPr="00CC677D">
        <w:rPr>
          <w:sz w:val="24"/>
          <w:szCs w:val="24"/>
        </w:rPr>
        <w:t xml:space="preserve"> </w:t>
      </w:r>
      <w:proofErr w:type="gramStart"/>
      <w:r w:rsidRPr="00CC677D">
        <w:rPr>
          <w:sz w:val="24"/>
          <w:szCs w:val="24"/>
        </w:rPr>
        <w:t>Dengan demikian, pada penelitian ini tidak terjadi heterokedastisitas.</w:t>
      </w:r>
      <w:proofErr w:type="gramEnd"/>
      <w:r w:rsidRPr="00CC677D">
        <w:rPr>
          <w:sz w:val="24"/>
          <w:szCs w:val="24"/>
        </w:rPr>
        <w:t xml:space="preserve"> Sedangkan hasil pengujian heteroskedastisitas menggunakan uji </w:t>
      </w:r>
      <w:r w:rsidRPr="00CC677D">
        <w:rPr>
          <w:i/>
          <w:sz w:val="24"/>
          <w:szCs w:val="24"/>
        </w:rPr>
        <w:t xml:space="preserve">glejser </w:t>
      </w:r>
      <w:r w:rsidRPr="00CC677D">
        <w:rPr>
          <w:sz w:val="24"/>
          <w:szCs w:val="24"/>
        </w:rPr>
        <w:t xml:space="preserve">sebagai </w:t>
      </w:r>
      <w:proofErr w:type="gramStart"/>
      <w:r w:rsidRPr="00CC677D">
        <w:rPr>
          <w:sz w:val="24"/>
          <w:szCs w:val="24"/>
        </w:rPr>
        <w:t>berikut :</w:t>
      </w:r>
      <w:proofErr w:type="gramEnd"/>
    </w:p>
    <w:p w:rsidR="00744E26" w:rsidRPr="00CC677D" w:rsidRDefault="00744E26" w:rsidP="00CC677D">
      <w:pPr>
        <w:pStyle w:val="ListParagraph"/>
        <w:autoSpaceDE w:val="0"/>
        <w:autoSpaceDN w:val="0"/>
        <w:adjustRightInd w:val="0"/>
        <w:ind w:left="360"/>
        <w:jc w:val="center"/>
        <w:rPr>
          <w:b/>
          <w:sz w:val="24"/>
          <w:szCs w:val="24"/>
        </w:rPr>
      </w:pPr>
      <w:r w:rsidRPr="00CC677D">
        <w:rPr>
          <w:b/>
          <w:sz w:val="24"/>
          <w:szCs w:val="24"/>
        </w:rPr>
        <w:t xml:space="preserve">HASIL UJI HETEROSKEDASITISITAS DENGAN UJI </w:t>
      </w:r>
      <w:r w:rsidRPr="00CC677D">
        <w:rPr>
          <w:b/>
          <w:i/>
          <w:sz w:val="24"/>
          <w:szCs w:val="24"/>
        </w:rPr>
        <w:t>GLEJSER</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344"/>
        <w:gridCol w:w="1127"/>
        <w:gridCol w:w="1319"/>
        <w:gridCol w:w="1456"/>
        <w:gridCol w:w="1001"/>
        <w:gridCol w:w="1001"/>
      </w:tblGrid>
      <w:tr w:rsidR="00744E26" w:rsidRPr="00CC677D" w:rsidTr="00F05E02">
        <w:trPr>
          <w:cantSplit/>
        </w:trPr>
        <w:tc>
          <w:tcPr>
            <w:tcW w:w="7974"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Coefficients</w:t>
            </w:r>
            <w:r w:rsidRPr="00CC677D">
              <w:rPr>
                <w:b/>
                <w:bCs/>
                <w:color w:val="000000"/>
                <w:sz w:val="24"/>
                <w:szCs w:val="24"/>
                <w:vertAlign w:val="superscript"/>
              </w:rPr>
              <w:t>a</w:t>
            </w:r>
          </w:p>
        </w:tc>
      </w:tr>
      <w:tr w:rsidR="00744E26" w:rsidRPr="00CC677D" w:rsidTr="00F05E02">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2446" w:type="dxa"/>
            <w:gridSpan w:val="2"/>
            <w:tcBorders>
              <w:top w:val="single" w:sz="16" w:space="0" w:color="000000"/>
              <w:lef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Unstandardized Coefficients</w:t>
            </w:r>
          </w:p>
        </w:tc>
        <w:tc>
          <w:tcPr>
            <w:tcW w:w="1456" w:type="dxa"/>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Standardized Coefficients</w:t>
            </w:r>
          </w:p>
        </w:tc>
        <w:tc>
          <w:tcPr>
            <w:tcW w:w="1001" w:type="dxa"/>
            <w:vMerge w:val="restart"/>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T</w:t>
            </w:r>
          </w:p>
        </w:tc>
        <w:tc>
          <w:tcPr>
            <w:tcW w:w="1001" w:type="dxa"/>
            <w:vMerge w:val="restart"/>
            <w:tcBorders>
              <w:top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Sig.</w:t>
            </w:r>
          </w:p>
        </w:tc>
      </w:tr>
      <w:tr w:rsidR="00744E26" w:rsidRPr="00CC677D" w:rsidTr="00F05E02">
        <w:trPr>
          <w:cantSplit/>
        </w:trPr>
        <w:tc>
          <w:tcPr>
            <w:tcW w:w="2070" w:type="dxa"/>
            <w:gridSpan w:val="2"/>
            <w:vMerge/>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rPr>
                <w:color w:val="000000"/>
                <w:sz w:val="24"/>
                <w:szCs w:val="24"/>
              </w:rPr>
            </w:pPr>
          </w:p>
        </w:tc>
        <w:tc>
          <w:tcPr>
            <w:tcW w:w="1127" w:type="dxa"/>
            <w:tcBorders>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w:t>
            </w:r>
          </w:p>
        </w:tc>
        <w:tc>
          <w:tcPr>
            <w:tcW w:w="1319"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Error</w:t>
            </w:r>
          </w:p>
        </w:tc>
        <w:tc>
          <w:tcPr>
            <w:tcW w:w="1456"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Beta</w:t>
            </w:r>
          </w:p>
        </w:tc>
        <w:tc>
          <w:tcPr>
            <w:tcW w:w="1001" w:type="dxa"/>
            <w:vMerge/>
            <w:tcBorders>
              <w:top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c>
          <w:tcPr>
            <w:tcW w:w="1001" w:type="dxa"/>
            <w:vMerge/>
            <w:tcBorders>
              <w:top w:val="single" w:sz="16" w:space="0" w:color="000000"/>
              <w:right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r>
      <w:tr w:rsidR="00744E26" w:rsidRPr="00CC677D" w:rsidTr="00F05E02">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p>
        </w:tc>
        <w:tc>
          <w:tcPr>
            <w:tcW w:w="1344" w:type="dxa"/>
            <w:tcBorders>
              <w:top w:val="single" w:sz="16" w:space="0" w:color="000000"/>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96" w:right="60" w:firstLine="90"/>
              <w:rPr>
                <w:color w:val="000000"/>
                <w:sz w:val="24"/>
                <w:szCs w:val="24"/>
              </w:rPr>
            </w:pPr>
            <w:r w:rsidRPr="00CC677D">
              <w:rPr>
                <w:color w:val="000000"/>
                <w:sz w:val="24"/>
                <w:szCs w:val="24"/>
              </w:rPr>
              <w:t>1 (Constant)</w:t>
            </w:r>
          </w:p>
        </w:tc>
        <w:tc>
          <w:tcPr>
            <w:tcW w:w="1127" w:type="dxa"/>
            <w:tcBorders>
              <w:top w:val="single" w:sz="16" w:space="0" w:color="000000"/>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-1.456</w:t>
            </w:r>
          </w:p>
        </w:tc>
        <w:tc>
          <w:tcPr>
            <w:tcW w:w="1319"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1.929</w:t>
            </w:r>
          </w:p>
        </w:tc>
        <w:tc>
          <w:tcPr>
            <w:tcW w:w="1456" w:type="dxa"/>
            <w:tcBorders>
              <w:top w:val="single" w:sz="16" w:space="0" w:color="000000"/>
              <w:bottom w:val="nil"/>
            </w:tcBorders>
            <w:shd w:val="clear" w:color="auto" w:fill="FFFFFF"/>
          </w:tcPr>
          <w:p w:rsidR="00744E26" w:rsidRPr="00CC677D" w:rsidRDefault="00744E26" w:rsidP="00CC677D">
            <w:pPr>
              <w:autoSpaceDE w:val="0"/>
              <w:autoSpaceDN w:val="0"/>
              <w:adjustRightInd w:val="0"/>
              <w:rPr>
                <w:sz w:val="24"/>
                <w:szCs w:val="24"/>
              </w:rPr>
            </w:pPr>
          </w:p>
        </w:tc>
        <w:tc>
          <w:tcPr>
            <w:tcW w:w="1001"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-.755</w:t>
            </w:r>
          </w:p>
        </w:tc>
        <w:tc>
          <w:tcPr>
            <w:tcW w:w="1001" w:type="dxa"/>
            <w:tcBorders>
              <w:top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.459</w:t>
            </w:r>
          </w:p>
        </w:tc>
      </w:tr>
      <w:tr w:rsidR="00744E26" w:rsidRPr="00CC677D" w:rsidTr="00F05E0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344"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CSR</w:t>
            </w:r>
          </w:p>
        </w:tc>
        <w:tc>
          <w:tcPr>
            <w:tcW w:w="1127"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-.378</w:t>
            </w:r>
          </w:p>
        </w:tc>
        <w:tc>
          <w:tcPr>
            <w:tcW w:w="1319"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2.545</w:t>
            </w:r>
          </w:p>
        </w:tc>
        <w:tc>
          <w:tcPr>
            <w:tcW w:w="1456"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-.035</w:t>
            </w:r>
          </w:p>
        </w:tc>
        <w:tc>
          <w:tcPr>
            <w:tcW w:w="1001"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-.149</w:t>
            </w:r>
          </w:p>
        </w:tc>
        <w:tc>
          <w:tcPr>
            <w:tcW w:w="1001"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.883</w:t>
            </w:r>
          </w:p>
        </w:tc>
      </w:tr>
      <w:tr w:rsidR="00744E26" w:rsidRPr="00CC677D" w:rsidTr="00F05E0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344"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CR</w:t>
            </w:r>
          </w:p>
        </w:tc>
        <w:tc>
          <w:tcPr>
            <w:tcW w:w="1127"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-.463</w:t>
            </w:r>
          </w:p>
        </w:tc>
        <w:tc>
          <w:tcPr>
            <w:tcW w:w="1319"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.457</w:t>
            </w:r>
          </w:p>
        </w:tc>
        <w:tc>
          <w:tcPr>
            <w:tcW w:w="1456"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-.371</w:t>
            </w:r>
          </w:p>
        </w:tc>
        <w:tc>
          <w:tcPr>
            <w:tcW w:w="1001"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-1.011</w:t>
            </w:r>
          </w:p>
        </w:tc>
        <w:tc>
          <w:tcPr>
            <w:tcW w:w="1001"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.325</w:t>
            </w:r>
          </w:p>
        </w:tc>
      </w:tr>
      <w:tr w:rsidR="00744E26" w:rsidRPr="00CC677D" w:rsidTr="00F05E0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344" w:type="dxa"/>
            <w:tcBorders>
              <w:top w:val="nil"/>
              <w:left w:val="nil"/>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DER</w:t>
            </w:r>
          </w:p>
        </w:tc>
        <w:tc>
          <w:tcPr>
            <w:tcW w:w="1127" w:type="dxa"/>
            <w:tcBorders>
              <w:top w:val="nil"/>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-1.832</w:t>
            </w:r>
          </w:p>
        </w:tc>
        <w:tc>
          <w:tcPr>
            <w:tcW w:w="1319"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2.306</w:t>
            </w:r>
          </w:p>
        </w:tc>
        <w:tc>
          <w:tcPr>
            <w:tcW w:w="1456"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-.300</w:t>
            </w:r>
          </w:p>
        </w:tc>
        <w:tc>
          <w:tcPr>
            <w:tcW w:w="1001"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-.794</w:t>
            </w:r>
          </w:p>
        </w:tc>
        <w:tc>
          <w:tcPr>
            <w:tcW w:w="1001" w:type="dxa"/>
            <w:tcBorders>
              <w:top w:val="nil"/>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.437</w:t>
            </w:r>
          </w:p>
        </w:tc>
      </w:tr>
      <w:tr w:rsidR="00744E26" w:rsidRPr="00CC677D" w:rsidTr="00F05E02">
        <w:trPr>
          <w:cantSplit/>
        </w:trPr>
        <w:tc>
          <w:tcPr>
            <w:tcW w:w="7974"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Dependent Variable: LN_RES_1</w:t>
            </w:r>
          </w:p>
        </w:tc>
      </w:tr>
    </w:tbl>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630"/>
        <w:jc w:val="both"/>
        <w:rPr>
          <w:b/>
          <w:sz w:val="24"/>
          <w:szCs w:val="24"/>
        </w:rPr>
      </w:pPr>
      <w:r w:rsidRPr="00CC677D">
        <w:rPr>
          <w:sz w:val="24"/>
          <w:szCs w:val="24"/>
        </w:rPr>
        <w:t>Berdasarkan hasil pengujian menggunakan uji</w:t>
      </w:r>
      <w:r w:rsidRPr="00CC677D">
        <w:rPr>
          <w:i/>
          <w:sz w:val="24"/>
          <w:szCs w:val="24"/>
        </w:rPr>
        <w:t xml:space="preserve"> glejser </w:t>
      </w:r>
      <w:r w:rsidR="00994263">
        <w:rPr>
          <w:sz w:val="24"/>
          <w:szCs w:val="24"/>
        </w:rPr>
        <w:t>pada tabel</w:t>
      </w:r>
      <w:r w:rsidRPr="00CC677D">
        <w:rPr>
          <w:sz w:val="24"/>
          <w:szCs w:val="24"/>
        </w:rPr>
        <w:t xml:space="preserve"> diketahui bahwa semua variabel memiliki nilai probabilitas signifikan di atas 0</w:t>
      </w:r>
      <w:proofErr w:type="gramStart"/>
      <w:r w:rsidRPr="00CC677D">
        <w:rPr>
          <w:sz w:val="24"/>
          <w:szCs w:val="24"/>
        </w:rPr>
        <w:t>,05</w:t>
      </w:r>
      <w:proofErr w:type="gramEnd"/>
      <w:r w:rsidRPr="00CC677D">
        <w:rPr>
          <w:sz w:val="24"/>
          <w:szCs w:val="24"/>
        </w:rPr>
        <w:t xml:space="preserve">. </w:t>
      </w:r>
      <w:proofErr w:type="gramStart"/>
      <w:r w:rsidRPr="00CC677D">
        <w:rPr>
          <w:sz w:val="24"/>
          <w:szCs w:val="24"/>
        </w:rPr>
        <w:t>Hal ini dapat disimpulkan bahwa model regresi dinyatakan bebas dari gejala heteroskedastisitas.</w:t>
      </w:r>
      <w:proofErr w:type="gramEnd"/>
    </w:p>
    <w:p w:rsidR="00744E26" w:rsidRPr="00CC677D" w:rsidRDefault="00744E26" w:rsidP="00CC677D">
      <w:pPr>
        <w:autoSpaceDE w:val="0"/>
        <w:autoSpaceDN w:val="0"/>
        <w:adjustRightInd w:val="0"/>
        <w:jc w:val="both"/>
        <w:rPr>
          <w:b/>
          <w:sz w:val="24"/>
          <w:szCs w:val="24"/>
        </w:rPr>
      </w:pPr>
      <w:r w:rsidRPr="00CC677D">
        <w:rPr>
          <w:b/>
          <w:sz w:val="24"/>
          <w:szCs w:val="24"/>
        </w:rPr>
        <w:t>Uji Autokorelasi</w:t>
      </w:r>
    </w:p>
    <w:p w:rsidR="00744E26" w:rsidRPr="00CC677D" w:rsidRDefault="00744E26" w:rsidP="00CC677D">
      <w:pPr>
        <w:autoSpaceDE w:val="0"/>
        <w:autoSpaceDN w:val="0"/>
        <w:adjustRightInd w:val="0"/>
        <w:ind w:firstLine="630"/>
        <w:jc w:val="both"/>
        <w:rPr>
          <w:sz w:val="24"/>
          <w:szCs w:val="24"/>
          <w:lang w:val="id-ID"/>
        </w:rPr>
      </w:pPr>
      <w:proofErr w:type="gramStart"/>
      <w:r w:rsidRPr="00CC677D">
        <w:rPr>
          <w:sz w:val="24"/>
          <w:szCs w:val="24"/>
        </w:rPr>
        <w:t>Uji autokorelasi bertujuan menguji apakah dalam model linier ada korelasi antara kesalahan pada periode t dengan kesalahan penggangu pada periode t-1 (sebelumnya).</w:t>
      </w:r>
      <w:proofErr w:type="gramEnd"/>
      <w:r w:rsidRPr="00CC677D">
        <w:rPr>
          <w:sz w:val="24"/>
          <w:szCs w:val="24"/>
        </w:rPr>
        <w:t xml:space="preserve"> </w:t>
      </w:r>
      <w:proofErr w:type="gramStart"/>
      <w:r w:rsidRPr="00CC677D">
        <w:rPr>
          <w:sz w:val="24"/>
          <w:szCs w:val="24"/>
        </w:rPr>
        <w:t>Untuk mendeteksi autokorelasi dapat menggunakan Durbin Watson (DW Test).</w:t>
      </w:r>
      <w:proofErr w:type="gramEnd"/>
      <w:r w:rsidRPr="00CC677D">
        <w:rPr>
          <w:sz w:val="24"/>
          <w:szCs w:val="24"/>
        </w:rPr>
        <w:t xml:space="preserve"> Agar model regresi terbebas dari masalah autokorelasi dan layak digunakan maka nilai DW harus berada pada daerah dU &lt; DW &lt; 4-dU. Berikut hasil uji autokorelasi</w:t>
      </w:r>
      <w:r w:rsidRPr="00CC677D">
        <w:rPr>
          <w:sz w:val="24"/>
          <w:szCs w:val="24"/>
          <w:lang w:val="id-ID"/>
        </w:rPr>
        <w:t>:</w:t>
      </w:r>
    </w:p>
    <w:p w:rsidR="00744E26" w:rsidRPr="00CC677D" w:rsidRDefault="00744E26" w:rsidP="00CC677D">
      <w:pPr>
        <w:autoSpaceDE w:val="0"/>
        <w:autoSpaceDN w:val="0"/>
        <w:adjustRightInd w:val="0"/>
        <w:jc w:val="center"/>
        <w:rPr>
          <w:b/>
          <w:sz w:val="24"/>
          <w:szCs w:val="24"/>
        </w:rPr>
      </w:pPr>
      <w:r w:rsidRPr="00CC677D">
        <w:rPr>
          <w:b/>
          <w:sz w:val="24"/>
          <w:szCs w:val="24"/>
        </w:rPr>
        <w:t>HASIL UJI AUTOKORELASI</w:t>
      </w:r>
    </w:p>
    <w:tbl>
      <w:tblPr>
        <w:tblW w:w="71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860"/>
        <w:gridCol w:w="1061"/>
        <w:gridCol w:w="1455"/>
        <w:gridCol w:w="1455"/>
        <w:gridCol w:w="1455"/>
      </w:tblGrid>
      <w:tr w:rsidR="00744E26" w:rsidRPr="00CC677D" w:rsidTr="00F05E02">
        <w:trPr>
          <w:cantSplit/>
          <w:jc w:val="center"/>
        </w:trPr>
        <w:tc>
          <w:tcPr>
            <w:tcW w:w="7186" w:type="dxa"/>
            <w:gridSpan w:val="6"/>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Model Summary</w:t>
            </w:r>
            <w:r w:rsidRPr="00CC677D">
              <w:rPr>
                <w:b/>
                <w:bCs/>
                <w:color w:val="000000"/>
                <w:sz w:val="24"/>
                <w:szCs w:val="24"/>
                <w:vertAlign w:val="superscript"/>
              </w:rPr>
              <w:t>b</w:t>
            </w:r>
          </w:p>
        </w:tc>
      </w:tr>
      <w:tr w:rsidR="00744E26" w:rsidRPr="00CC677D" w:rsidTr="00F05E02">
        <w:trPr>
          <w:cantSplit/>
          <w:jc w:val="center"/>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860"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R</w:t>
            </w:r>
          </w:p>
        </w:tc>
        <w:tc>
          <w:tcPr>
            <w:tcW w:w="1061"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R Square</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Adjusted R Square</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Error of the Estimate</w:t>
            </w:r>
          </w:p>
        </w:tc>
        <w:tc>
          <w:tcPr>
            <w:tcW w:w="1455"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Durbin-Watson</w:t>
            </w:r>
          </w:p>
        </w:tc>
      </w:tr>
      <w:tr w:rsidR="00744E26" w:rsidRPr="00CC677D" w:rsidTr="00F05E02">
        <w:trPr>
          <w:cantSplit/>
          <w:jc w:val="center"/>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1</w:t>
            </w:r>
          </w:p>
        </w:tc>
        <w:tc>
          <w:tcPr>
            <w:tcW w:w="860"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.228</w:t>
            </w:r>
            <w:r w:rsidRPr="00CC677D">
              <w:rPr>
                <w:color w:val="000000"/>
                <w:sz w:val="24"/>
                <w:szCs w:val="24"/>
                <w:vertAlign w:val="superscript"/>
              </w:rPr>
              <w:t>a</w:t>
            </w:r>
          </w:p>
        </w:tc>
        <w:tc>
          <w:tcPr>
            <w:tcW w:w="1061"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.052</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-.098</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1.17916</w:t>
            </w:r>
          </w:p>
        </w:tc>
        <w:tc>
          <w:tcPr>
            <w:tcW w:w="1455"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1.976</w:t>
            </w:r>
          </w:p>
        </w:tc>
      </w:tr>
      <w:tr w:rsidR="00744E26" w:rsidRPr="00CC677D" w:rsidTr="00F05E02">
        <w:trPr>
          <w:cantSplit/>
          <w:jc w:val="center"/>
        </w:trPr>
        <w:tc>
          <w:tcPr>
            <w:tcW w:w="7186" w:type="dxa"/>
            <w:gridSpan w:val="6"/>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Predictors: (Constant), DER, CSR, CR</w:t>
            </w:r>
          </w:p>
        </w:tc>
      </w:tr>
      <w:tr w:rsidR="00744E26" w:rsidRPr="00CC677D" w:rsidTr="00F05E02">
        <w:trPr>
          <w:cantSplit/>
          <w:jc w:val="center"/>
        </w:trPr>
        <w:tc>
          <w:tcPr>
            <w:tcW w:w="7186" w:type="dxa"/>
            <w:gridSpan w:val="6"/>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b. Dependent Variable: LN_RES_1</w:t>
            </w:r>
          </w:p>
        </w:tc>
      </w:tr>
    </w:tbl>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630"/>
        <w:jc w:val="both"/>
        <w:rPr>
          <w:sz w:val="24"/>
          <w:szCs w:val="24"/>
        </w:rPr>
      </w:pPr>
      <w:proofErr w:type="gramStart"/>
      <w:r w:rsidRPr="00CC677D">
        <w:rPr>
          <w:sz w:val="24"/>
          <w:szCs w:val="24"/>
        </w:rPr>
        <w:t>Berdasarkan diatas, menunjukkan bahwa nilai DW sbesar 1,976.</w:t>
      </w:r>
      <w:proofErr w:type="gramEnd"/>
      <w:r w:rsidRPr="00CC677D">
        <w:rPr>
          <w:sz w:val="24"/>
          <w:szCs w:val="24"/>
        </w:rPr>
        <w:t xml:space="preserve"> Sedangkan dari tabel Durbin Watson dengan menggunakan signifikansi 5% jumlah sampel 55 (n) dan jumlah variabel independen 3 (k=3) diperoleh nilai dl 1</w:t>
      </w:r>
      <w:proofErr w:type="gramStart"/>
      <w:r w:rsidRPr="00CC677D">
        <w:rPr>
          <w:sz w:val="24"/>
          <w:szCs w:val="24"/>
        </w:rPr>
        <w:t>,4523</w:t>
      </w:r>
      <w:proofErr w:type="gramEnd"/>
      <w:r w:rsidRPr="00CC677D">
        <w:rPr>
          <w:sz w:val="24"/>
          <w:szCs w:val="24"/>
        </w:rPr>
        <w:t xml:space="preserve"> dan du 1,6815. Karena DW lebih besar dari batas atas (du) dan kurang dari 4–du (4-1</w:t>
      </w:r>
      <w:proofErr w:type="gramStart"/>
      <w:r w:rsidRPr="00CC677D">
        <w:rPr>
          <w:sz w:val="24"/>
          <w:szCs w:val="24"/>
        </w:rPr>
        <w:t>,6815</w:t>
      </w:r>
      <w:proofErr w:type="gramEnd"/>
      <w:r w:rsidRPr="00CC677D">
        <w:rPr>
          <w:sz w:val="24"/>
          <w:szCs w:val="24"/>
        </w:rPr>
        <w:t xml:space="preserve">) = 2,3185. </w:t>
      </w:r>
      <w:proofErr w:type="gramStart"/>
      <w:r w:rsidRPr="00CC677D">
        <w:rPr>
          <w:sz w:val="24"/>
          <w:szCs w:val="24"/>
        </w:rPr>
        <w:t>Dengan demikian tidak terjadi autokorelasi dan model regresi ini layak digunakan.</w:t>
      </w:r>
      <w:proofErr w:type="gramEnd"/>
    </w:p>
    <w:p w:rsidR="00744E26" w:rsidRPr="00CC677D" w:rsidRDefault="00744E26" w:rsidP="00CC677D">
      <w:pPr>
        <w:autoSpaceDE w:val="0"/>
        <w:autoSpaceDN w:val="0"/>
        <w:adjustRightInd w:val="0"/>
        <w:jc w:val="both"/>
        <w:rPr>
          <w:b/>
          <w:sz w:val="24"/>
          <w:szCs w:val="24"/>
        </w:rPr>
      </w:pPr>
      <w:r w:rsidRPr="00CC677D">
        <w:rPr>
          <w:b/>
          <w:sz w:val="24"/>
          <w:szCs w:val="24"/>
        </w:rPr>
        <w:lastRenderedPageBreak/>
        <w:t>Uji Hipotesis</w:t>
      </w:r>
    </w:p>
    <w:p w:rsidR="00744E26" w:rsidRPr="00CC677D" w:rsidRDefault="00744E26" w:rsidP="00CC677D">
      <w:pPr>
        <w:autoSpaceDE w:val="0"/>
        <w:autoSpaceDN w:val="0"/>
        <w:adjustRightInd w:val="0"/>
        <w:jc w:val="both"/>
        <w:rPr>
          <w:b/>
          <w:sz w:val="24"/>
          <w:szCs w:val="24"/>
        </w:rPr>
      </w:pPr>
      <w:r w:rsidRPr="00CC677D">
        <w:rPr>
          <w:b/>
          <w:bCs/>
          <w:sz w:val="24"/>
          <w:szCs w:val="24"/>
        </w:rPr>
        <w:t>Uji Koefisien Determinasi (</w:t>
      </w:r>
      <w:r w:rsidRPr="00CC677D">
        <w:rPr>
          <w:b/>
          <w:sz w:val="24"/>
          <w:szCs w:val="24"/>
        </w:rPr>
        <w:t>R</w:t>
      </w:r>
      <w:r w:rsidRPr="00CC677D">
        <w:rPr>
          <w:b/>
          <w:sz w:val="24"/>
          <w:szCs w:val="24"/>
          <w:vertAlign w:val="superscript"/>
        </w:rPr>
        <w:t>2</w:t>
      </w:r>
      <w:r w:rsidRPr="00CC677D">
        <w:rPr>
          <w:b/>
          <w:bCs/>
          <w:sz w:val="24"/>
          <w:szCs w:val="24"/>
        </w:rPr>
        <w:t>)</w:t>
      </w:r>
    </w:p>
    <w:p w:rsidR="00744E26" w:rsidRPr="00CC677D" w:rsidRDefault="00744E26" w:rsidP="00CC677D">
      <w:pPr>
        <w:pStyle w:val="ListParagraph"/>
        <w:autoSpaceDE w:val="0"/>
        <w:autoSpaceDN w:val="0"/>
        <w:adjustRightInd w:val="0"/>
        <w:ind w:left="0" w:firstLine="630"/>
        <w:jc w:val="both"/>
        <w:rPr>
          <w:sz w:val="24"/>
          <w:szCs w:val="24"/>
        </w:rPr>
      </w:pPr>
      <w:proofErr w:type="gramStart"/>
      <w:r w:rsidRPr="00CC677D">
        <w:rPr>
          <w:sz w:val="24"/>
          <w:szCs w:val="24"/>
        </w:rPr>
        <w:t>Koefisien determinasi R</w:t>
      </w:r>
      <w:r w:rsidRPr="00CC677D">
        <w:rPr>
          <w:sz w:val="24"/>
          <w:szCs w:val="24"/>
          <w:vertAlign w:val="superscript"/>
        </w:rPr>
        <w:t>2</w:t>
      </w:r>
      <w:r w:rsidRPr="00CC677D">
        <w:rPr>
          <w:sz w:val="24"/>
          <w:szCs w:val="24"/>
        </w:rPr>
        <w:t xml:space="preserve"> untuk mengukur seberapa jauh kemampuan model dalam menerangkan variabel – variabel dependen (Ghozali, 2016:95).</w:t>
      </w:r>
      <w:proofErr w:type="gramEnd"/>
      <w:r w:rsidRPr="00CC677D">
        <w:rPr>
          <w:sz w:val="24"/>
          <w:szCs w:val="24"/>
        </w:rPr>
        <w:t xml:space="preserve"> </w:t>
      </w:r>
      <w:proofErr w:type="gramStart"/>
      <w:r w:rsidRPr="00CC677D">
        <w:rPr>
          <w:sz w:val="24"/>
          <w:szCs w:val="24"/>
        </w:rPr>
        <w:t>Berikut adalah hasil perhitungan koefisien determinasi hipotesis.</w:t>
      </w:r>
      <w:proofErr w:type="gramEnd"/>
    </w:p>
    <w:p w:rsidR="00744E26" w:rsidRPr="00CC677D" w:rsidRDefault="00744E26" w:rsidP="00CC677D">
      <w:pPr>
        <w:autoSpaceDE w:val="0"/>
        <w:autoSpaceDN w:val="0"/>
        <w:adjustRightInd w:val="0"/>
        <w:jc w:val="center"/>
        <w:rPr>
          <w:b/>
          <w:sz w:val="24"/>
          <w:szCs w:val="24"/>
        </w:rPr>
      </w:pPr>
      <w:r w:rsidRPr="00CC677D">
        <w:rPr>
          <w:b/>
          <w:bCs/>
          <w:sz w:val="24"/>
          <w:szCs w:val="24"/>
        </w:rPr>
        <w:t>UJI KOEFISIEN DETERMINASI</w:t>
      </w:r>
    </w:p>
    <w:tbl>
      <w:tblPr>
        <w:tblW w:w="5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49"/>
        <w:gridCol w:w="1061"/>
        <w:gridCol w:w="1455"/>
        <w:gridCol w:w="1455"/>
      </w:tblGrid>
      <w:tr w:rsidR="00744E26" w:rsidRPr="00CC677D" w:rsidTr="00F05E02">
        <w:trPr>
          <w:cantSplit/>
          <w:jc w:val="center"/>
        </w:trPr>
        <w:tc>
          <w:tcPr>
            <w:tcW w:w="5730" w:type="dxa"/>
            <w:gridSpan w:val="5"/>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Model Summary</w:t>
            </w:r>
            <w:r w:rsidRPr="00CC677D">
              <w:rPr>
                <w:b/>
                <w:bCs/>
                <w:color w:val="000000"/>
                <w:sz w:val="24"/>
                <w:szCs w:val="24"/>
                <w:vertAlign w:val="superscript"/>
              </w:rPr>
              <w:t>b</w:t>
            </w:r>
          </w:p>
        </w:tc>
      </w:tr>
      <w:tr w:rsidR="00744E26" w:rsidRPr="00CC677D" w:rsidTr="00F05E02">
        <w:trPr>
          <w:cantSplit/>
          <w:jc w:val="center"/>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949"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R</w:t>
            </w:r>
          </w:p>
        </w:tc>
        <w:tc>
          <w:tcPr>
            <w:tcW w:w="1061"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R Square</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Error of the Estimate</w:t>
            </w:r>
          </w:p>
        </w:tc>
      </w:tr>
      <w:tr w:rsidR="00744E26" w:rsidRPr="00CC677D" w:rsidTr="00F05E02">
        <w:trPr>
          <w:cantSplit/>
          <w:jc w:val="center"/>
        </w:trPr>
        <w:tc>
          <w:tcPr>
            <w:tcW w:w="81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1</w:t>
            </w:r>
          </w:p>
        </w:tc>
        <w:tc>
          <w:tcPr>
            <w:tcW w:w="949"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.471</w:t>
            </w:r>
            <w:r w:rsidRPr="00CC677D">
              <w:rPr>
                <w:color w:val="000000"/>
                <w:sz w:val="24"/>
                <w:szCs w:val="24"/>
                <w:vertAlign w:val="superscript"/>
              </w:rPr>
              <w:t>a</w:t>
            </w:r>
          </w:p>
        </w:tc>
        <w:tc>
          <w:tcPr>
            <w:tcW w:w="1061"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.222</w:t>
            </w:r>
          </w:p>
        </w:tc>
        <w:tc>
          <w:tcPr>
            <w:tcW w:w="145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.176</w:t>
            </w:r>
          </w:p>
        </w:tc>
        <w:tc>
          <w:tcPr>
            <w:tcW w:w="1455"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.074295</w:t>
            </w:r>
          </w:p>
        </w:tc>
      </w:tr>
      <w:tr w:rsidR="00744E26" w:rsidRPr="00CC677D" w:rsidTr="00F05E02">
        <w:trPr>
          <w:cantSplit/>
          <w:jc w:val="center"/>
        </w:trPr>
        <w:tc>
          <w:tcPr>
            <w:tcW w:w="5730" w:type="dxa"/>
            <w:gridSpan w:val="5"/>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Predictors: (Constant), DER, CSR, CR</w:t>
            </w:r>
          </w:p>
        </w:tc>
      </w:tr>
      <w:tr w:rsidR="00744E26" w:rsidRPr="00CC677D" w:rsidTr="00F05E02">
        <w:trPr>
          <w:cantSplit/>
          <w:jc w:val="center"/>
        </w:trPr>
        <w:tc>
          <w:tcPr>
            <w:tcW w:w="5730" w:type="dxa"/>
            <w:gridSpan w:val="5"/>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b. Dependent Variable: ETR</w:t>
            </w:r>
          </w:p>
        </w:tc>
      </w:tr>
    </w:tbl>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630"/>
        <w:jc w:val="both"/>
        <w:rPr>
          <w:sz w:val="24"/>
          <w:szCs w:val="24"/>
        </w:rPr>
      </w:pPr>
      <w:r w:rsidRPr="00CC677D">
        <w:rPr>
          <w:sz w:val="24"/>
          <w:szCs w:val="24"/>
        </w:rPr>
        <w:t>Berdasarkan tabel diketahui bahwa nilai adusted R square nya diperoleh sebesar 0,176. Hal ini menunjukkan bahwa 17</w:t>
      </w:r>
      <w:proofErr w:type="gramStart"/>
      <w:r w:rsidRPr="00CC677D">
        <w:rPr>
          <w:sz w:val="24"/>
          <w:szCs w:val="24"/>
        </w:rPr>
        <w:t>,6</w:t>
      </w:r>
      <w:proofErr w:type="gramEnd"/>
      <w:r w:rsidRPr="00CC677D">
        <w:rPr>
          <w:sz w:val="24"/>
          <w:szCs w:val="24"/>
        </w:rPr>
        <w:t xml:space="preserve">% variabel agresivitas pajak dapat dijelaskan oleh CSR, likuiditas dan </w:t>
      </w:r>
      <w:r w:rsidRPr="00CC677D">
        <w:rPr>
          <w:i/>
          <w:sz w:val="24"/>
          <w:szCs w:val="24"/>
        </w:rPr>
        <w:t xml:space="preserve">leverage. </w:t>
      </w:r>
      <w:r w:rsidRPr="00CC677D">
        <w:rPr>
          <w:sz w:val="24"/>
          <w:szCs w:val="24"/>
        </w:rPr>
        <w:t>Sedangkan sisanya sebesar 82</w:t>
      </w:r>
      <w:proofErr w:type="gramStart"/>
      <w:r w:rsidRPr="00CC677D">
        <w:rPr>
          <w:sz w:val="24"/>
          <w:szCs w:val="24"/>
        </w:rPr>
        <w:t>,4</w:t>
      </w:r>
      <w:proofErr w:type="gramEnd"/>
      <w:r w:rsidRPr="00CC677D">
        <w:rPr>
          <w:sz w:val="24"/>
          <w:szCs w:val="24"/>
        </w:rPr>
        <w:t>% (100% - 17,6%) dapat dijelaskan oleh faktor-faktor lain selain variabel independen tersebut seperti tingkat kepatuhan wajib pajak, kondisi keuangan wajib pajak/perusahaan, peraturan perundang-undangan perpajakan atau mungkin kondisi lingkungan yang terkait dengan perusahaan yang mempengaruhi praktik tindakan agresivitas pajak di masa mendatang. Nilai koefisien korelasi (R) pada tabel 4.6 sebesar 0,471 menunjukkan bahwa hubungan antar variabel independen dan dependen adalah lemah karena koefisien korelasi dibawah 0</w:t>
      </w:r>
      <w:proofErr w:type="gramStart"/>
      <w:r w:rsidRPr="00CC677D">
        <w:rPr>
          <w:sz w:val="24"/>
          <w:szCs w:val="24"/>
        </w:rPr>
        <w:t>,5</w:t>
      </w:r>
      <w:proofErr w:type="gramEnd"/>
      <w:r w:rsidRPr="00CC677D">
        <w:rPr>
          <w:sz w:val="24"/>
          <w:szCs w:val="24"/>
        </w:rPr>
        <w:t>.</w:t>
      </w:r>
    </w:p>
    <w:p w:rsidR="00744E26" w:rsidRPr="00CC677D" w:rsidRDefault="00744E26" w:rsidP="00CC677D">
      <w:pPr>
        <w:autoSpaceDE w:val="0"/>
        <w:autoSpaceDN w:val="0"/>
        <w:adjustRightInd w:val="0"/>
        <w:jc w:val="both"/>
        <w:rPr>
          <w:b/>
          <w:sz w:val="24"/>
          <w:szCs w:val="24"/>
        </w:rPr>
      </w:pPr>
      <w:r w:rsidRPr="00CC677D">
        <w:rPr>
          <w:b/>
          <w:bCs/>
          <w:sz w:val="24"/>
          <w:szCs w:val="24"/>
        </w:rPr>
        <w:t xml:space="preserve">Uji Statistik F </w:t>
      </w:r>
      <w:r w:rsidRPr="00CC677D">
        <w:rPr>
          <w:b/>
          <w:bCs/>
          <w:i/>
          <w:sz w:val="24"/>
          <w:szCs w:val="24"/>
        </w:rPr>
        <w:t>(Goodness of Fit)</w:t>
      </w:r>
    </w:p>
    <w:p w:rsidR="00744E26" w:rsidRPr="00CC677D" w:rsidRDefault="00744E26" w:rsidP="00CC677D">
      <w:pPr>
        <w:autoSpaceDE w:val="0"/>
        <w:autoSpaceDN w:val="0"/>
        <w:adjustRightInd w:val="0"/>
        <w:ind w:firstLine="630"/>
        <w:jc w:val="both"/>
        <w:rPr>
          <w:b/>
          <w:sz w:val="24"/>
          <w:szCs w:val="24"/>
        </w:rPr>
      </w:pPr>
      <w:r w:rsidRPr="00CC677D">
        <w:rPr>
          <w:sz w:val="24"/>
          <w:szCs w:val="24"/>
        </w:rPr>
        <w:t xml:space="preserve">Analisis regresi secara </w:t>
      </w:r>
      <w:r w:rsidRPr="00CC677D">
        <w:rPr>
          <w:i/>
          <w:sz w:val="24"/>
          <w:szCs w:val="24"/>
        </w:rPr>
        <w:t xml:space="preserve">multivariate </w:t>
      </w:r>
      <w:r w:rsidRPr="00CC677D">
        <w:rPr>
          <w:sz w:val="24"/>
          <w:szCs w:val="24"/>
        </w:rPr>
        <w:t>dengan menggunakan metode uji F dengan taraf signifikansi 0</w:t>
      </w:r>
      <w:proofErr w:type="gramStart"/>
      <w:r w:rsidRPr="00CC677D">
        <w:rPr>
          <w:sz w:val="24"/>
          <w:szCs w:val="24"/>
        </w:rPr>
        <w:t>,05</w:t>
      </w:r>
      <w:proofErr w:type="gramEnd"/>
      <w:r w:rsidRPr="00CC677D">
        <w:rPr>
          <w:sz w:val="24"/>
          <w:szCs w:val="24"/>
        </w:rPr>
        <w:t xml:space="preserve"> untuk mengetahui kelayakan atau kesesuaian model penelitian terkait dengan seluruh variabel independen terhadap variabel dependen.</w:t>
      </w:r>
    </w:p>
    <w:p w:rsidR="00744E26" w:rsidRPr="00CC677D" w:rsidRDefault="00744E26" w:rsidP="00CC677D">
      <w:pPr>
        <w:autoSpaceDE w:val="0"/>
        <w:autoSpaceDN w:val="0"/>
        <w:adjustRightInd w:val="0"/>
        <w:jc w:val="center"/>
        <w:rPr>
          <w:b/>
          <w:sz w:val="24"/>
          <w:szCs w:val="24"/>
        </w:rPr>
      </w:pPr>
      <w:r w:rsidRPr="00CC677D">
        <w:rPr>
          <w:b/>
          <w:sz w:val="24"/>
          <w:szCs w:val="24"/>
        </w:rPr>
        <w:t>HASIL UJI STATISTIK F DENGAN ANOVA</w:t>
      </w:r>
    </w:p>
    <w:tbl>
      <w:tblPr>
        <w:tblW w:w="7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985"/>
        <w:gridCol w:w="1380"/>
        <w:gridCol w:w="985"/>
        <w:gridCol w:w="985"/>
      </w:tblGrid>
      <w:tr w:rsidR="00744E26" w:rsidRPr="00CC677D" w:rsidTr="00F05E02">
        <w:trPr>
          <w:cantSplit/>
        </w:trPr>
        <w:tc>
          <w:tcPr>
            <w:tcW w:w="7777"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ANOVA</w:t>
            </w:r>
            <w:r w:rsidRPr="00CC677D">
              <w:rPr>
                <w:b/>
                <w:bCs/>
                <w:color w:val="000000"/>
                <w:sz w:val="24"/>
                <w:szCs w:val="24"/>
                <w:vertAlign w:val="superscript"/>
              </w:rPr>
              <w:t>a</w:t>
            </w:r>
          </w:p>
        </w:tc>
      </w:tr>
      <w:tr w:rsidR="00744E26" w:rsidRPr="00CC677D" w:rsidTr="00F05E02">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Sum of Squares</w:t>
            </w:r>
          </w:p>
        </w:tc>
        <w:tc>
          <w:tcPr>
            <w:tcW w:w="98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Df</w:t>
            </w:r>
          </w:p>
        </w:tc>
        <w:tc>
          <w:tcPr>
            <w:tcW w:w="1380"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Mean Square</w:t>
            </w:r>
          </w:p>
        </w:tc>
        <w:tc>
          <w:tcPr>
            <w:tcW w:w="985" w:type="dxa"/>
            <w:tcBorders>
              <w:top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F</w:t>
            </w:r>
          </w:p>
        </w:tc>
        <w:tc>
          <w:tcPr>
            <w:tcW w:w="985" w:type="dxa"/>
            <w:tcBorders>
              <w:top w:val="single" w:sz="16" w:space="0" w:color="000000"/>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Sig.</w:t>
            </w:r>
          </w:p>
        </w:tc>
      </w:tr>
      <w:tr w:rsidR="00744E26" w:rsidRPr="00CC677D" w:rsidTr="00F05E02">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Regression</w:t>
            </w:r>
          </w:p>
        </w:tc>
        <w:tc>
          <w:tcPr>
            <w:tcW w:w="1456" w:type="dxa"/>
            <w:tcBorders>
              <w:top w:val="single" w:sz="16" w:space="0" w:color="000000"/>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.080</w:t>
            </w:r>
          </w:p>
        </w:tc>
        <w:tc>
          <w:tcPr>
            <w:tcW w:w="985"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w:t>
            </w:r>
          </w:p>
        </w:tc>
        <w:tc>
          <w:tcPr>
            <w:tcW w:w="138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.027</w:t>
            </w:r>
          </w:p>
        </w:tc>
        <w:tc>
          <w:tcPr>
            <w:tcW w:w="985"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4.838</w:t>
            </w:r>
          </w:p>
        </w:tc>
        <w:tc>
          <w:tcPr>
            <w:tcW w:w="985" w:type="dxa"/>
            <w:tcBorders>
              <w:top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.005</w:t>
            </w:r>
            <w:r w:rsidRPr="00CC677D">
              <w:rPr>
                <w:color w:val="000000"/>
                <w:sz w:val="24"/>
                <w:szCs w:val="24"/>
                <w:vertAlign w:val="superscript"/>
              </w:rPr>
              <w:t>b</w:t>
            </w:r>
          </w:p>
        </w:tc>
      </w:tr>
      <w:tr w:rsidR="00744E26" w:rsidRPr="00CC677D" w:rsidTr="00F05E0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258"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Residual</w:t>
            </w:r>
          </w:p>
        </w:tc>
        <w:tc>
          <w:tcPr>
            <w:tcW w:w="1456"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.282</w:t>
            </w:r>
          </w:p>
        </w:tc>
        <w:tc>
          <w:tcPr>
            <w:tcW w:w="985"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51</w:t>
            </w:r>
          </w:p>
        </w:tc>
        <w:tc>
          <w:tcPr>
            <w:tcW w:w="138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.006</w:t>
            </w:r>
          </w:p>
        </w:tc>
        <w:tc>
          <w:tcPr>
            <w:tcW w:w="985" w:type="dxa"/>
            <w:tcBorders>
              <w:top w:val="nil"/>
              <w:bottom w:val="nil"/>
            </w:tcBorders>
            <w:shd w:val="clear" w:color="auto" w:fill="FFFFFF"/>
          </w:tcPr>
          <w:p w:rsidR="00744E26" w:rsidRPr="00CC677D" w:rsidRDefault="00744E26" w:rsidP="00CC677D">
            <w:pPr>
              <w:autoSpaceDE w:val="0"/>
              <w:autoSpaceDN w:val="0"/>
              <w:adjustRightInd w:val="0"/>
              <w:rPr>
                <w:sz w:val="24"/>
                <w:szCs w:val="24"/>
              </w:rPr>
            </w:pPr>
          </w:p>
        </w:tc>
        <w:tc>
          <w:tcPr>
            <w:tcW w:w="985"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rPr>
                <w:sz w:val="24"/>
                <w:szCs w:val="24"/>
              </w:rPr>
            </w:pPr>
          </w:p>
        </w:tc>
      </w:tr>
      <w:tr w:rsidR="00744E26" w:rsidRPr="00CC677D" w:rsidTr="00F05E02">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Total</w:t>
            </w:r>
          </w:p>
        </w:tc>
        <w:tc>
          <w:tcPr>
            <w:tcW w:w="1456" w:type="dxa"/>
            <w:tcBorders>
              <w:top w:val="nil"/>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.362</w:t>
            </w:r>
          </w:p>
        </w:tc>
        <w:tc>
          <w:tcPr>
            <w:tcW w:w="985"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54</w:t>
            </w:r>
          </w:p>
        </w:tc>
        <w:tc>
          <w:tcPr>
            <w:tcW w:w="1380" w:type="dxa"/>
            <w:tcBorders>
              <w:top w:val="nil"/>
              <w:bottom w:val="single" w:sz="16" w:space="0" w:color="000000"/>
            </w:tcBorders>
            <w:shd w:val="clear" w:color="auto" w:fill="FFFFFF"/>
          </w:tcPr>
          <w:p w:rsidR="00744E26" w:rsidRPr="00CC677D" w:rsidRDefault="00744E26" w:rsidP="00CC677D">
            <w:pPr>
              <w:autoSpaceDE w:val="0"/>
              <w:autoSpaceDN w:val="0"/>
              <w:adjustRightInd w:val="0"/>
              <w:rPr>
                <w:sz w:val="24"/>
                <w:szCs w:val="24"/>
              </w:rPr>
            </w:pPr>
          </w:p>
        </w:tc>
        <w:tc>
          <w:tcPr>
            <w:tcW w:w="985" w:type="dxa"/>
            <w:tcBorders>
              <w:top w:val="nil"/>
              <w:bottom w:val="single" w:sz="16" w:space="0" w:color="000000"/>
            </w:tcBorders>
            <w:shd w:val="clear" w:color="auto" w:fill="FFFFFF"/>
          </w:tcPr>
          <w:p w:rsidR="00744E26" w:rsidRPr="00CC677D" w:rsidRDefault="00744E26" w:rsidP="00CC677D">
            <w:pPr>
              <w:autoSpaceDE w:val="0"/>
              <w:autoSpaceDN w:val="0"/>
              <w:adjustRightInd w:val="0"/>
              <w:rPr>
                <w:sz w:val="24"/>
                <w:szCs w:val="24"/>
              </w:rPr>
            </w:pPr>
          </w:p>
        </w:tc>
        <w:tc>
          <w:tcPr>
            <w:tcW w:w="985" w:type="dxa"/>
            <w:tcBorders>
              <w:top w:val="nil"/>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rPr>
                <w:sz w:val="24"/>
                <w:szCs w:val="24"/>
              </w:rPr>
            </w:pPr>
          </w:p>
        </w:tc>
      </w:tr>
      <w:tr w:rsidR="00744E26" w:rsidRPr="00CC677D" w:rsidTr="00F05E02">
        <w:trPr>
          <w:cantSplit/>
        </w:trPr>
        <w:tc>
          <w:tcPr>
            <w:tcW w:w="7777"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Dependent Variable: ETR</w:t>
            </w:r>
          </w:p>
        </w:tc>
      </w:tr>
      <w:tr w:rsidR="00744E26" w:rsidRPr="00CC677D" w:rsidTr="00F05E02">
        <w:trPr>
          <w:cantSplit/>
        </w:trPr>
        <w:tc>
          <w:tcPr>
            <w:tcW w:w="7777"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b. Predictors: (Constant), DER, CSR, CR</w:t>
            </w:r>
          </w:p>
        </w:tc>
      </w:tr>
    </w:tbl>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630"/>
        <w:jc w:val="both"/>
        <w:rPr>
          <w:sz w:val="24"/>
          <w:szCs w:val="24"/>
        </w:rPr>
      </w:pPr>
      <w:r w:rsidRPr="00CC677D">
        <w:rPr>
          <w:sz w:val="24"/>
          <w:szCs w:val="24"/>
        </w:rPr>
        <w:t>Berdasarka menunjukkan hasil uji F hitung sebesar 4,838 dan nilai signifikansi sebesar 0,005 yang lebih nilai lebih kecil dari 0</w:t>
      </w:r>
      <w:proofErr w:type="gramStart"/>
      <w:r w:rsidRPr="00CC677D">
        <w:rPr>
          <w:sz w:val="24"/>
          <w:szCs w:val="24"/>
        </w:rPr>
        <w:t>,05</w:t>
      </w:r>
      <w:proofErr w:type="gramEnd"/>
      <w:r w:rsidRPr="00CC677D">
        <w:rPr>
          <w:sz w:val="24"/>
          <w:szCs w:val="24"/>
        </w:rPr>
        <w:t xml:space="preserve">. Sehingga disimpulkan bahwa CSR, likuiditas dan </w:t>
      </w:r>
      <w:r w:rsidRPr="00CC677D">
        <w:rPr>
          <w:i/>
          <w:sz w:val="24"/>
          <w:szCs w:val="24"/>
        </w:rPr>
        <w:t xml:space="preserve">leverage </w:t>
      </w:r>
      <w:r w:rsidRPr="00CC677D">
        <w:rPr>
          <w:sz w:val="24"/>
          <w:szCs w:val="24"/>
        </w:rPr>
        <w:t xml:space="preserve">berpengaruh terhadap agresivitas pajak dan dinyatakan layak dalam memprediksi variabel agresivitas pajak. </w:t>
      </w:r>
      <w:proofErr w:type="gramStart"/>
      <w:r w:rsidRPr="00CC677D">
        <w:rPr>
          <w:sz w:val="24"/>
          <w:szCs w:val="24"/>
        </w:rPr>
        <w:t>Dengan demikian pembuktin hipotesis dapat dilakukan.</w:t>
      </w:r>
      <w:proofErr w:type="gramEnd"/>
    </w:p>
    <w:p w:rsidR="00744E26" w:rsidRPr="00CC677D" w:rsidRDefault="00744E26" w:rsidP="00CC677D">
      <w:pPr>
        <w:autoSpaceDE w:val="0"/>
        <w:autoSpaceDN w:val="0"/>
        <w:adjustRightInd w:val="0"/>
        <w:jc w:val="both"/>
        <w:rPr>
          <w:b/>
          <w:sz w:val="24"/>
          <w:szCs w:val="24"/>
        </w:rPr>
      </w:pPr>
      <w:r w:rsidRPr="00CC677D">
        <w:rPr>
          <w:b/>
          <w:bCs/>
          <w:sz w:val="24"/>
          <w:szCs w:val="24"/>
        </w:rPr>
        <w:t>Uji Statistik t</w:t>
      </w:r>
    </w:p>
    <w:p w:rsidR="00744E26" w:rsidRPr="00CC677D" w:rsidRDefault="00744E26" w:rsidP="00CC677D">
      <w:pPr>
        <w:autoSpaceDE w:val="0"/>
        <w:autoSpaceDN w:val="0"/>
        <w:adjustRightInd w:val="0"/>
        <w:ind w:firstLine="630"/>
        <w:jc w:val="both"/>
        <w:rPr>
          <w:sz w:val="24"/>
          <w:szCs w:val="24"/>
          <w:lang w:val="id-ID"/>
        </w:rPr>
      </w:pPr>
      <w:r w:rsidRPr="00CC677D">
        <w:rPr>
          <w:sz w:val="24"/>
          <w:szCs w:val="24"/>
        </w:rPr>
        <w:t xml:space="preserve">Uji statistik t digunakan untuk melihat pengaruh dari masing-masing variabel independen yaitu CSR, likuiditas dan </w:t>
      </w:r>
      <w:r w:rsidRPr="00CC677D">
        <w:rPr>
          <w:i/>
          <w:sz w:val="24"/>
          <w:szCs w:val="24"/>
        </w:rPr>
        <w:t xml:space="preserve">leverage </w:t>
      </w:r>
      <w:r w:rsidRPr="00CC677D">
        <w:rPr>
          <w:sz w:val="24"/>
          <w:szCs w:val="24"/>
        </w:rPr>
        <w:t>terhadap variabel dependen yaitu agresivitas pajak. Berikuti ini hasil dari uji statistik t yang disajikan dalam tabel</w:t>
      </w:r>
    </w:p>
    <w:p w:rsidR="00744E26" w:rsidRPr="00CC677D" w:rsidRDefault="00744E26" w:rsidP="00CC677D">
      <w:pPr>
        <w:autoSpaceDE w:val="0"/>
        <w:autoSpaceDN w:val="0"/>
        <w:adjustRightInd w:val="0"/>
        <w:jc w:val="center"/>
        <w:rPr>
          <w:b/>
          <w:sz w:val="24"/>
          <w:szCs w:val="24"/>
        </w:rPr>
      </w:pPr>
      <w:r w:rsidRPr="00CC677D">
        <w:rPr>
          <w:b/>
          <w:sz w:val="24"/>
          <w:szCs w:val="24"/>
        </w:rPr>
        <w:t>HASIL UJI STATISTIK T</w:t>
      </w:r>
    </w:p>
    <w:tbl>
      <w:tblPr>
        <w:tblW w:w="7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163"/>
        <w:gridCol w:w="907"/>
        <w:gridCol w:w="1170"/>
        <w:gridCol w:w="1530"/>
        <w:gridCol w:w="810"/>
        <w:gridCol w:w="720"/>
      </w:tblGrid>
      <w:tr w:rsidR="00744E26" w:rsidRPr="00CC677D" w:rsidTr="00F05E02">
        <w:trPr>
          <w:cantSplit/>
          <w:jc w:val="center"/>
        </w:trPr>
        <w:tc>
          <w:tcPr>
            <w:tcW w:w="7020"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b/>
                <w:bCs/>
                <w:color w:val="000000"/>
                <w:sz w:val="24"/>
                <w:szCs w:val="24"/>
              </w:rPr>
              <w:t>Coefficients</w:t>
            </w:r>
            <w:r w:rsidRPr="00CC677D">
              <w:rPr>
                <w:b/>
                <w:bCs/>
                <w:color w:val="000000"/>
                <w:sz w:val="24"/>
                <w:szCs w:val="24"/>
                <w:vertAlign w:val="superscript"/>
              </w:rPr>
              <w:t>a</w:t>
            </w:r>
          </w:p>
        </w:tc>
      </w:tr>
      <w:tr w:rsidR="00744E26" w:rsidRPr="00CC677D" w:rsidTr="00F05E02">
        <w:trPr>
          <w:cantSplit/>
          <w:jc w:val="center"/>
        </w:trPr>
        <w:tc>
          <w:tcPr>
            <w:tcW w:w="1883" w:type="dxa"/>
            <w:gridSpan w:val="2"/>
            <w:vMerge w:val="restart"/>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Model</w:t>
            </w:r>
          </w:p>
        </w:tc>
        <w:tc>
          <w:tcPr>
            <w:tcW w:w="2077" w:type="dxa"/>
            <w:gridSpan w:val="2"/>
            <w:tcBorders>
              <w:top w:val="single" w:sz="16" w:space="0" w:color="000000"/>
              <w:lef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Unstandardized Coefficients</w:t>
            </w:r>
          </w:p>
        </w:tc>
        <w:tc>
          <w:tcPr>
            <w:tcW w:w="1530" w:type="dxa"/>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Standardized Coefficients</w:t>
            </w:r>
          </w:p>
        </w:tc>
        <w:tc>
          <w:tcPr>
            <w:tcW w:w="810" w:type="dxa"/>
            <w:vMerge w:val="restart"/>
            <w:tcBorders>
              <w:top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t</w:t>
            </w:r>
          </w:p>
        </w:tc>
        <w:tc>
          <w:tcPr>
            <w:tcW w:w="720" w:type="dxa"/>
            <w:vMerge w:val="restart"/>
            <w:tcBorders>
              <w:top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Sig.</w:t>
            </w:r>
          </w:p>
        </w:tc>
      </w:tr>
      <w:tr w:rsidR="00744E26" w:rsidRPr="00CC677D" w:rsidTr="00F05E02">
        <w:trPr>
          <w:cantSplit/>
          <w:jc w:val="center"/>
        </w:trPr>
        <w:tc>
          <w:tcPr>
            <w:tcW w:w="1883" w:type="dxa"/>
            <w:gridSpan w:val="2"/>
            <w:vMerge/>
            <w:tcBorders>
              <w:top w:val="single" w:sz="16" w:space="0" w:color="000000"/>
              <w:left w:val="single" w:sz="16" w:space="0" w:color="000000"/>
              <w:bottom w:val="nil"/>
              <w:right w:val="nil"/>
            </w:tcBorders>
            <w:shd w:val="clear" w:color="auto" w:fill="FFFFFF"/>
          </w:tcPr>
          <w:p w:rsidR="00744E26" w:rsidRPr="00CC677D" w:rsidRDefault="00744E26" w:rsidP="00CC677D">
            <w:pPr>
              <w:autoSpaceDE w:val="0"/>
              <w:autoSpaceDN w:val="0"/>
              <w:adjustRightInd w:val="0"/>
              <w:rPr>
                <w:color w:val="000000"/>
                <w:sz w:val="24"/>
                <w:szCs w:val="24"/>
              </w:rPr>
            </w:pPr>
          </w:p>
        </w:tc>
        <w:tc>
          <w:tcPr>
            <w:tcW w:w="907" w:type="dxa"/>
            <w:tcBorders>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w:t>
            </w:r>
          </w:p>
        </w:tc>
        <w:tc>
          <w:tcPr>
            <w:tcW w:w="1170"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Std. Error</w:t>
            </w:r>
          </w:p>
        </w:tc>
        <w:tc>
          <w:tcPr>
            <w:tcW w:w="1530" w:type="dxa"/>
            <w:tcBorders>
              <w:bottom w:val="single" w:sz="16" w:space="0" w:color="000000"/>
            </w:tcBorders>
            <w:shd w:val="clear" w:color="auto" w:fill="FFFFFF"/>
          </w:tcPr>
          <w:p w:rsidR="00744E26" w:rsidRPr="00CC677D" w:rsidRDefault="00744E26" w:rsidP="00CC677D">
            <w:pPr>
              <w:autoSpaceDE w:val="0"/>
              <w:autoSpaceDN w:val="0"/>
              <w:adjustRightInd w:val="0"/>
              <w:ind w:left="60" w:right="60"/>
              <w:jc w:val="center"/>
              <w:rPr>
                <w:color w:val="000000"/>
                <w:sz w:val="24"/>
                <w:szCs w:val="24"/>
              </w:rPr>
            </w:pPr>
            <w:r w:rsidRPr="00CC677D">
              <w:rPr>
                <w:color w:val="000000"/>
                <w:sz w:val="24"/>
                <w:szCs w:val="24"/>
              </w:rPr>
              <w:t>Beta</w:t>
            </w:r>
          </w:p>
        </w:tc>
        <w:tc>
          <w:tcPr>
            <w:tcW w:w="810" w:type="dxa"/>
            <w:vMerge/>
            <w:tcBorders>
              <w:top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c>
          <w:tcPr>
            <w:tcW w:w="720" w:type="dxa"/>
            <w:vMerge/>
            <w:tcBorders>
              <w:top w:val="single" w:sz="16" w:space="0" w:color="000000"/>
              <w:right w:val="single" w:sz="16" w:space="0" w:color="000000"/>
            </w:tcBorders>
            <w:shd w:val="clear" w:color="auto" w:fill="FFFFFF"/>
          </w:tcPr>
          <w:p w:rsidR="00744E26" w:rsidRPr="00CC677D" w:rsidRDefault="00744E26" w:rsidP="00CC677D">
            <w:pPr>
              <w:autoSpaceDE w:val="0"/>
              <w:autoSpaceDN w:val="0"/>
              <w:adjustRightInd w:val="0"/>
              <w:rPr>
                <w:color w:val="000000"/>
                <w:sz w:val="24"/>
                <w:szCs w:val="24"/>
              </w:rPr>
            </w:pPr>
          </w:p>
        </w:tc>
      </w:tr>
      <w:tr w:rsidR="00744E26" w:rsidRPr="00CC677D" w:rsidTr="00F05E02">
        <w:trPr>
          <w:cantSplit/>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1</w:t>
            </w:r>
          </w:p>
        </w:tc>
        <w:tc>
          <w:tcPr>
            <w:tcW w:w="1163" w:type="dxa"/>
            <w:tcBorders>
              <w:top w:val="single" w:sz="16" w:space="0" w:color="000000"/>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(Constant)</w:t>
            </w:r>
          </w:p>
        </w:tc>
        <w:tc>
          <w:tcPr>
            <w:tcW w:w="907" w:type="dxa"/>
            <w:tcBorders>
              <w:top w:val="single" w:sz="16" w:space="0" w:color="000000"/>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.290</w:t>
            </w:r>
          </w:p>
        </w:tc>
        <w:tc>
          <w:tcPr>
            <w:tcW w:w="117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.062</w:t>
            </w:r>
          </w:p>
        </w:tc>
        <w:tc>
          <w:tcPr>
            <w:tcW w:w="1530" w:type="dxa"/>
            <w:tcBorders>
              <w:top w:val="single" w:sz="16" w:space="0" w:color="000000"/>
              <w:bottom w:val="nil"/>
            </w:tcBorders>
            <w:shd w:val="clear" w:color="auto" w:fill="FFFFFF"/>
          </w:tcPr>
          <w:p w:rsidR="00744E26" w:rsidRPr="00CC677D" w:rsidRDefault="00744E26" w:rsidP="00CC677D">
            <w:pPr>
              <w:autoSpaceDE w:val="0"/>
              <w:autoSpaceDN w:val="0"/>
              <w:adjustRightInd w:val="0"/>
              <w:rPr>
                <w:sz w:val="24"/>
                <w:szCs w:val="24"/>
              </w:rPr>
            </w:pPr>
          </w:p>
        </w:tc>
        <w:tc>
          <w:tcPr>
            <w:tcW w:w="810" w:type="dxa"/>
            <w:tcBorders>
              <w:top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4.646</w:t>
            </w:r>
          </w:p>
        </w:tc>
        <w:tc>
          <w:tcPr>
            <w:tcW w:w="720" w:type="dxa"/>
            <w:tcBorders>
              <w:top w:val="single" w:sz="16" w:space="0" w:color="000000"/>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.000</w:t>
            </w:r>
          </w:p>
        </w:tc>
      </w:tr>
      <w:tr w:rsidR="00744E26" w:rsidRPr="00CC677D" w:rsidTr="00F05E02">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163"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CSR</w:t>
            </w:r>
          </w:p>
        </w:tc>
        <w:tc>
          <w:tcPr>
            <w:tcW w:w="907"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-.192</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.090</w:t>
            </w:r>
          </w:p>
        </w:tc>
        <w:tc>
          <w:tcPr>
            <w:tcW w:w="153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-.267</w:t>
            </w:r>
          </w:p>
        </w:tc>
        <w:tc>
          <w:tcPr>
            <w:tcW w:w="81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-2.118</w:t>
            </w:r>
          </w:p>
        </w:tc>
        <w:tc>
          <w:tcPr>
            <w:tcW w:w="72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.039</w:t>
            </w:r>
          </w:p>
        </w:tc>
      </w:tr>
      <w:tr w:rsidR="00744E26" w:rsidRPr="00CC677D" w:rsidTr="00F05E02">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163" w:type="dxa"/>
            <w:tcBorders>
              <w:top w:val="nil"/>
              <w:left w:val="nil"/>
              <w:bottom w:val="nil"/>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CR</w:t>
            </w:r>
          </w:p>
        </w:tc>
        <w:tc>
          <w:tcPr>
            <w:tcW w:w="907" w:type="dxa"/>
            <w:tcBorders>
              <w:top w:val="nil"/>
              <w:left w:val="single" w:sz="16" w:space="0" w:color="000000"/>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.002</w:t>
            </w:r>
          </w:p>
        </w:tc>
        <w:tc>
          <w:tcPr>
            <w:tcW w:w="117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.014</w:t>
            </w:r>
          </w:p>
        </w:tc>
        <w:tc>
          <w:tcPr>
            <w:tcW w:w="153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.026</w:t>
            </w:r>
          </w:p>
        </w:tc>
        <w:tc>
          <w:tcPr>
            <w:tcW w:w="810" w:type="dxa"/>
            <w:tcBorders>
              <w:top w:val="nil"/>
              <w:bottom w:val="nil"/>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.175</w:t>
            </w:r>
          </w:p>
        </w:tc>
        <w:tc>
          <w:tcPr>
            <w:tcW w:w="720" w:type="dxa"/>
            <w:tcBorders>
              <w:top w:val="nil"/>
              <w:bottom w:val="nil"/>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.862</w:t>
            </w:r>
          </w:p>
        </w:tc>
      </w:tr>
      <w:tr w:rsidR="00744E26" w:rsidRPr="00CC677D" w:rsidTr="00F05E02">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44E26" w:rsidRPr="00CC677D" w:rsidRDefault="00744E26" w:rsidP="00CC677D">
            <w:pPr>
              <w:autoSpaceDE w:val="0"/>
              <w:autoSpaceDN w:val="0"/>
              <w:adjustRightInd w:val="0"/>
              <w:rPr>
                <w:color w:val="000000"/>
                <w:sz w:val="24"/>
                <w:szCs w:val="24"/>
              </w:rPr>
            </w:pPr>
          </w:p>
        </w:tc>
        <w:tc>
          <w:tcPr>
            <w:tcW w:w="1163" w:type="dxa"/>
            <w:tcBorders>
              <w:top w:val="nil"/>
              <w:left w:val="nil"/>
              <w:bottom w:val="single" w:sz="16" w:space="0" w:color="000000"/>
              <w:right w:val="single" w:sz="16" w:space="0" w:color="000000"/>
            </w:tcBorders>
            <w:shd w:val="clear" w:color="auto" w:fill="FFFFFF"/>
            <w:vAlign w:val="center"/>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DER</w:t>
            </w:r>
          </w:p>
        </w:tc>
        <w:tc>
          <w:tcPr>
            <w:tcW w:w="907" w:type="dxa"/>
            <w:tcBorders>
              <w:top w:val="nil"/>
              <w:left w:val="single" w:sz="16" w:space="0" w:color="000000"/>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.197</w:t>
            </w:r>
          </w:p>
        </w:tc>
        <w:tc>
          <w:tcPr>
            <w:tcW w:w="117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.085</w:t>
            </w:r>
          </w:p>
        </w:tc>
        <w:tc>
          <w:tcPr>
            <w:tcW w:w="153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.354</w:t>
            </w:r>
          </w:p>
        </w:tc>
        <w:tc>
          <w:tcPr>
            <w:tcW w:w="810" w:type="dxa"/>
            <w:tcBorders>
              <w:top w:val="nil"/>
              <w:bottom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2.317</w:t>
            </w:r>
          </w:p>
        </w:tc>
        <w:tc>
          <w:tcPr>
            <w:tcW w:w="720" w:type="dxa"/>
            <w:tcBorders>
              <w:top w:val="nil"/>
              <w:bottom w:val="single" w:sz="16" w:space="0" w:color="000000"/>
              <w:right w:val="single" w:sz="16" w:space="0" w:color="000000"/>
            </w:tcBorders>
            <w:shd w:val="clear" w:color="auto" w:fill="FFFFFF"/>
          </w:tcPr>
          <w:p w:rsidR="00744E26" w:rsidRPr="00CC677D" w:rsidRDefault="00744E26" w:rsidP="00CC677D">
            <w:pPr>
              <w:autoSpaceDE w:val="0"/>
              <w:autoSpaceDN w:val="0"/>
              <w:adjustRightInd w:val="0"/>
              <w:ind w:left="60" w:right="60"/>
              <w:jc w:val="right"/>
              <w:rPr>
                <w:color w:val="000000"/>
                <w:sz w:val="24"/>
                <w:szCs w:val="24"/>
              </w:rPr>
            </w:pPr>
            <w:r w:rsidRPr="00CC677D">
              <w:rPr>
                <w:color w:val="000000"/>
                <w:sz w:val="24"/>
                <w:szCs w:val="24"/>
              </w:rPr>
              <w:t>.025</w:t>
            </w:r>
          </w:p>
        </w:tc>
      </w:tr>
      <w:tr w:rsidR="00744E26" w:rsidRPr="00CC677D" w:rsidTr="00F05E02">
        <w:trPr>
          <w:cantSplit/>
          <w:jc w:val="center"/>
        </w:trPr>
        <w:tc>
          <w:tcPr>
            <w:tcW w:w="7020" w:type="dxa"/>
            <w:gridSpan w:val="7"/>
            <w:tcBorders>
              <w:top w:val="nil"/>
              <w:left w:val="nil"/>
              <w:bottom w:val="nil"/>
              <w:right w:val="nil"/>
            </w:tcBorders>
            <w:shd w:val="clear" w:color="auto" w:fill="FFFFFF"/>
          </w:tcPr>
          <w:p w:rsidR="00744E26" w:rsidRPr="00CC677D" w:rsidRDefault="00744E26" w:rsidP="00CC677D">
            <w:pPr>
              <w:autoSpaceDE w:val="0"/>
              <w:autoSpaceDN w:val="0"/>
              <w:adjustRightInd w:val="0"/>
              <w:ind w:left="60" w:right="60"/>
              <w:rPr>
                <w:color w:val="000000"/>
                <w:sz w:val="24"/>
                <w:szCs w:val="24"/>
              </w:rPr>
            </w:pPr>
            <w:r w:rsidRPr="00CC677D">
              <w:rPr>
                <w:color w:val="000000"/>
                <w:sz w:val="24"/>
                <w:szCs w:val="24"/>
              </w:rPr>
              <w:t>a. Dependent Variable: ETR</w:t>
            </w:r>
          </w:p>
        </w:tc>
      </w:tr>
    </w:tbl>
    <w:p w:rsidR="00744E26" w:rsidRPr="00CC677D" w:rsidRDefault="00744E26" w:rsidP="00CC677D">
      <w:pPr>
        <w:autoSpaceDE w:val="0"/>
        <w:autoSpaceDN w:val="0"/>
        <w:adjustRightInd w:val="0"/>
        <w:rPr>
          <w:i/>
          <w:sz w:val="24"/>
          <w:szCs w:val="24"/>
        </w:rPr>
      </w:pPr>
      <w:proofErr w:type="gramStart"/>
      <w:r w:rsidRPr="00CC677D">
        <w:rPr>
          <w:i/>
          <w:sz w:val="24"/>
          <w:szCs w:val="24"/>
        </w:rPr>
        <w:t>Sumber :</w:t>
      </w:r>
      <w:proofErr w:type="gramEnd"/>
      <w:r w:rsidRPr="00CC677D">
        <w:rPr>
          <w:i/>
          <w:sz w:val="24"/>
          <w:szCs w:val="24"/>
        </w:rPr>
        <w:t xml:space="preserve"> data sekunder yang diolah menggunakan Spss v.21, tahun 2018</w:t>
      </w:r>
    </w:p>
    <w:p w:rsidR="00744E26" w:rsidRPr="00CC677D" w:rsidRDefault="00744E26" w:rsidP="00CC677D">
      <w:pPr>
        <w:autoSpaceDE w:val="0"/>
        <w:autoSpaceDN w:val="0"/>
        <w:adjustRightInd w:val="0"/>
        <w:ind w:firstLine="630"/>
        <w:jc w:val="both"/>
        <w:rPr>
          <w:sz w:val="24"/>
          <w:szCs w:val="24"/>
        </w:rPr>
      </w:pPr>
      <w:r w:rsidRPr="00CC677D">
        <w:rPr>
          <w:sz w:val="24"/>
          <w:szCs w:val="24"/>
        </w:rPr>
        <w:t xml:space="preserve">Berdasarkan hasil uji statistik t, dapat diketahui hasil antara masing-masing variabel independen terhadap variabel dependen yang dapat dijelaskan sebagai </w:t>
      </w:r>
      <w:proofErr w:type="gramStart"/>
      <w:r w:rsidRPr="00CC677D">
        <w:rPr>
          <w:sz w:val="24"/>
          <w:szCs w:val="24"/>
        </w:rPr>
        <w:t>berikut :</w:t>
      </w:r>
      <w:proofErr w:type="gramEnd"/>
    </w:p>
    <w:p w:rsidR="00744E26" w:rsidRPr="00CC677D" w:rsidRDefault="00744E26" w:rsidP="00CC677D">
      <w:pPr>
        <w:pStyle w:val="ListParagraph"/>
        <w:numPr>
          <w:ilvl w:val="0"/>
          <w:numId w:val="9"/>
        </w:numPr>
        <w:autoSpaceDE w:val="0"/>
        <w:autoSpaceDN w:val="0"/>
        <w:adjustRightInd w:val="0"/>
        <w:ind w:left="540"/>
        <w:jc w:val="both"/>
        <w:rPr>
          <w:sz w:val="24"/>
          <w:szCs w:val="24"/>
        </w:rPr>
      </w:pPr>
      <w:r w:rsidRPr="00CC677D">
        <w:rPr>
          <w:sz w:val="24"/>
          <w:szCs w:val="24"/>
        </w:rPr>
        <w:t xml:space="preserve">Hasil pengujian variabel </w:t>
      </w:r>
      <w:r w:rsidRPr="00CC677D">
        <w:rPr>
          <w:i/>
          <w:sz w:val="24"/>
          <w:szCs w:val="24"/>
        </w:rPr>
        <w:t>Corporate Social Responsibility</w:t>
      </w:r>
      <w:r w:rsidRPr="00CC677D">
        <w:rPr>
          <w:sz w:val="24"/>
          <w:szCs w:val="24"/>
        </w:rPr>
        <w:t xml:space="preserve"> (CSR) memiliki nilai sig. yaitu 0,039 berarti (0,039 &lt; 0</w:t>
      </w:r>
      <w:proofErr w:type="gramStart"/>
      <w:r w:rsidRPr="00CC677D">
        <w:rPr>
          <w:sz w:val="24"/>
          <w:szCs w:val="24"/>
        </w:rPr>
        <w:t>,05</w:t>
      </w:r>
      <w:proofErr w:type="gramEnd"/>
      <w:r w:rsidRPr="00CC677D">
        <w:rPr>
          <w:sz w:val="24"/>
          <w:szCs w:val="24"/>
        </w:rPr>
        <w:t>) sedangkan t hitung sebesar -2,118. Hal ini menunjukkan bahwa variabel CSR berpengaruh negatif secara signifikan terhadap agresivitas pajak (ETR). Dapat disimpulkan bahwa hipotesis 1 (satu) diterima.</w:t>
      </w:r>
    </w:p>
    <w:p w:rsidR="00744E26" w:rsidRPr="00CC677D" w:rsidRDefault="00744E26" w:rsidP="00CC677D">
      <w:pPr>
        <w:pStyle w:val="ListParagraph"/>
        <w:numPr>
          <w:ilvl w:val="0"/>
          <w:numId w:val="9"/>
        </w:numPr>
        <w:autoSpaceDE w:val="0"/>
        <w:autoSpaceDN w:val="0"/>
        <w:adjustRightInd w:val="0"/>
        <w:ind w:left="540"/>
        <w:jc w:val="both"/>
        <w:rPr>
          <w:sz w:val="24"/>
          <w:szCs w:val="24"/>
        </w:rPr>
      </w:pPr>
      <w:r w:rsidRPr="00CC677D">
        <w:rPr>
          <w:sz w:val="24"/>
          <w:szCs w:val="24"/>
        </w:rPr>
        <w:t>Hasil pengujian variabel likuiditas memiliki nilai sig. yaitu 0,862 berarti (0,862 &gt; 0</w:t>
      </w:r>
      <w:proofErr w:type="gramStart"/>
      <w:r w:rsidRPr="00CC677D">
        <w:rPr>
          <w:sz w:val="24"/>
          <w:szCs w:val="24"/>
        </w:rPr>
        <w:t>,05</w:t>
      </w:r>
      <w:proofErr w:type="gramEnd"/>
      <w:r w:rsidRPr="00CC677D">
        <w:rPr>
          <w:sz w:val="24"/>
          <w:szCs w:val="24"/>
        </w:rPr>
        <w:t>) sedangkan t hitung sebesar 0,175. Hal ini menunjukkan bahwa variabel likuiditas tidak berpengaruh secara signifikan terhadap agresivitas pajak (ETR). Dapat disimpulkan bahwa hipotesis 2 (dua) ditolak.</w:t>
      </w:r>
    </w:p>
    <w:p w:rsidR="00744E26" w:rsidRPr="00CC677D" w:rsidRDefault="00744E26" w:rsidP="00CC677D">
      <w:pPr>
        <w:pStyle w:val="ListParagraph"/>
        <w:numPr>
          <w:ilvl w:val="0"/>
          <w:numId w:val="9"/>
        </w:numPr>
        <w:autoSpaceDE w:val="0"/>
        <w:autoSpaceDN w:val="0"/>
        <w:adjustRightInd w:val="0"/>
        <w:ind w:left="540"/>
        <w:jc w:val="both"/>
        <w:rPr>
          <w:sz w:val="24"/>
          <w:szCs w:val="24"/>
        </w:rPr>
      </w:pPr>
      <w:r w:rsidRPr="00CC677D">
        <w:rPr>
          <w:sz w:val="24"/>
          <w:szCs w:val="24"/>
        </w:rPr>
        <w:t xml:space="preserve">Hasil pengujian variabel </w:t>
      </w:r>
      <w:r w:rsidRPr="00CC677D">
        <w:rPr>
          <w:i/>
          <w:sz w:val="24"/>
          <w:szCs w:val="24"/>
        </w:rPr>
        <w:t>leverage</w:t>
      </w:r>
      <w:r w:rsidRPr="00CC677D">
        <w:rPr>
          <w:sz w:val="24"/>
          <w:szCs w:val="24"/>
        </w:rPr>
        <w:t xml:space="preserve"> memiliki nilai sig. yaitu 0,025 berarti (0,025 &gt; 0</w:t>
      </w:r>
      <w:proofErr w:type="gramStart"/>
      <w:r w:rsidRPr="00CC677D">
        <w:rPr>
          <w:sz w:val="24"/>
          <w:szCs w:val="24"/>
        </w:rPr>
        <w:t>,05</w:t>
      </w:r>
      <w:proofErr w:type="gramEnd"/>
      <w:r w:rsidRPr="00CC677D">
        <w:rPr>
          <w:sz w:val="24"/>
          <w:szCs w:val="24"/>
        </w:rPr>
        <w:t xml:space="preserve">) sedangkan t hitung sebesar 2,317. Hal ini menunjukkan bahwa variabel </w:t>
      </w:r>
      <w:r w:rsidRPr="00CC677D">
        <w:rPr>
          <w:i/>
          <w:sz w:val="24"/>
          <w:szCs w:val="24"/>
        </w:rPr>
        <w:t>leverage</w:t>
      </w:r>
      <w:r w:rsidRPr="00CC677D">
        <w:rPr>
          <w:sz w:val="24"/>
          <w:szCs w:val="24"/>
        </w:rPr>
        <w:t xml:space="preserve"> berpengaruh positif secara signifikan terhadap agresivitas pajak (ETR). Dapat disimpulkan bahwa hipotesis 3 (satu) diterima.</w:t>
      </w:r>
    </w:p>
    <w:p w:rsidR="00744E26" w:rsidRPr="00CC677D" w:rsidRDefault="00744E26" w:rsidP="00CC677D">
      <w:pPr>
        <w:autoSpaceDE w:val="0"/>
        <w:autoSpaceDN w:val="0"/>
        <w:adjustRightInd w:val="0"/>
        <w:jc w:val="both"/>
        <w:rPr>
          <w:b/>
          <w:sz w:val="24"/>
          <w:szCs w:val="24"/>
        </w:rPr>
      </w:pPr>
      <w:r w:rsidRPr="00CC677D">
        <w:rPr>
          <w:b/>
          <w:bCs/>
          <w:sz w:val="24"/>
          <w:szCs w:val="24"/>
        </w:rPr>
        <w:t>Uji Analisis Regresi Linier Berganda</w:t>
      </w:r>
    </w:p>
    <w:p w:rsidR="00744E26" w:rsidRPr="00CC677D" w:rsidRDefault="00744E26" w:rsidP="00CC677D">
      <w:pPr>
        <w:pStyle w:val="ListParagraph"/>
        <w:autoSpaceDE w:val="0"/>
        <w:autoSpaceDN w:val="0"/>
        <w:adjustRightInd w:val="0"/>
        <w:ind w:left="360"/>
        <w:jc w:val="both"/>
        <w:rPr>
          <w:bCs/>
          <w:sz w:val="24"/>
          <w:szCs w:val="24"/>
        </w:rPr>
      </w:pPr>
      <w:r w:rsidRPr="00CC677D">
        <w:rPr>
          <w:bCs/>
          <w:sz w:val="24"/>
          <w:szCs w:val="24"/>
        </w:rPr>
        <w:t xml:space="preserve">Berdasarkan hasil uji t, dapat dirumuskan persamaan regresi sebagai </w:t>
      </w:r>
      <w:proofErr w:type="gramStart"/>
      <w:r w:rsidRPr="00CC677D">
        <w:rPr>
          <w:bCs/>
          <w:sz w:val="24"/>
          <w:szCs w:val="24"/>
        </w:rPr>
        <w:t>berikut :</w:t>
      </w:r>
      <w:proofErr w:type="gramEnd"/>
    </w:p>
    <w:p w:rsidR="00744E26" w:rsidRPr="00CC677D" w:rsidRDefault="00744E26" w:rsidP="00CC677D">
      <w:pPr>
        <w:pStyle w:val="ListParagraph"/>
        <w:autoSpaceDE w:val="0"/>
        <w:autoSpaceDN w:val="0"/>
        <w:adjustRightInd w:val="0"/>
        <w:ind w:left="360"/>
        <w:jc w:val="center"/>
        <w:rPr>
          <w:sz w:val="24"/>
          <w:szCs w:val="24"/>
        </w:rPr>
      </w:pPr>
      <w:r w:rsidRPr="00CC677D">
        <w:rPr>
          <w:bCs/>
          <w:sz w:val="24"/>
          <w:szCs w:val="24"/>
        </w:rPr>
        <w:t>ETR = 0,290 – 0,192 CSR + 0,002 CR + 0,197 DER + e</w:t>
      </w:r>
    </w:p>
    <w:p w:rsidR="00744E26" w:rsidRPr="00CC677D" w:rsidRDefault="00744E26" w:rsidP="00CC677D">
      <w:pPr>
        <w:pStyle w:val="ListParagraph"/>
        <w:autoSpaceDE w:val="0"/>
        <w:autoSpaceDN w:val="0"/>
        <w:adjustRightInd w:val="0"/>
        <w:ind w:left="0" w:firstLine="630"/>
        <w:jc w:val="both"/>
        <w:rPr>
          <w:sz w:val="24"/>
          <w:szCs w:val="24"/>
        </w:rPr>
      </w:pPr>
      <w:proofErr w:type="gramStart"/>
      <w:r w:rsidRPr="00CC677D">
        <w:rPr>
          <w:sz w:val="24"/>
          <w:szCs w:val="24"/>
        </w:rPr>
        <w:t>Berdasarkan persamaan regresi diatas dapat diketahui bahwa nilai konstanta (0,290) bernilai positif.</w:t>
      </w:r>
      <w:proofErr w:type="gramEnd"/>
      <w:r w:rsidRPr="00CC677D">
        <w:rPr>
          <w:sz w:val="24"/>
          <w:szCs w:val="24"/>
        </w:rPr>
        <w:t xml:space="preserve"> </w:t>
      </w:r>
      <w:proofErr w:type="gramStart"/>
      <w:r w:rsidRPr="00CC677D">
        <w:rPr>
          <w:sz w:val="24"/>
          <w:szCs w:val="24"/>
        </w:rPr>
        <w:t>Hal ini diartikan bahwa jika variabel independen dianggap konstan maka agresivitas pajak yang terjadi sebesar 0,290 atau 29%.</w:t>
      </w:r>
      <w:proofErr w:type="gramEnd"/>
      <w:r w:rsidRPr="00CC677D">
        <w:rPr>
          <w:sz w:val="24"/>
          <w:szCs w:val="24"/>
        </w:rPr>
        <w:t xml:space="preserve"> Adapun penjelasan persamaan regresi dapat dilihat dari nilai koefisien dan signifikansi sebagai </w:t>
      </w:r>
      <w:proofErr w:type="gramStart"/>
      <w:r w:rsidRPr="00CC677D">
        <w:rPr>
          <w:sz w:val="24"/>
          <w:szCs w:val="24"/>
        </w:rPr>
        <w:t>berikut :</w:t>
      </w:r>
      <w:proofErr w:type="gramEnd"/>
    </w:p>
    <w:p w:rsidR="00744E26" w:rsidRPr="00CC677D" w:rsidRDefault="00744E26" w:rsidP="00CC677D">
      <w:pPr>
        <w:pStyle w:val="ListParagraph"/>
        <w:numPr>
          <w:ilvl w:val="0"/>
          <w:numId w:val="10"/>
        </w:numPr>
        <w:autoSpaceDE w:val="0"/>
        <w:autoSpaceDN w:val="0"/>
        <w:adjustRightInd w:val="0"/>
        <w:ind w:left="540"/>
        <w:rPr>
          <w:sz w:val="24"/>
          <w:szCs w:val="24"/>
        </w:rPr>
      </w:pPr>
      <w:r w:rsidRPr="00CC677D">
        <w:rPr>
          <w:i/>
          <w:sz w:val="24"/>
          <w:szCs w:val="24"/>
        </w:rPr>
        <w:t xml:space="preserve">Corporate Social Responsibility </w:t>
      </w:r>
      <w:r w:rsidRPr="00CC677D">
        <w:rPr>
          <w:sz w:val="24"/>
          <w:szCs w:val="24"/>
        </w:rPr>
        <w:t>(CSR) β bernilai -0,192 berarti setiap peningkatan variabel CSR sebesar 1, maka agresivitas pajak menurun sebesar 0,192 (19</w:t>
      </w:r>
      <w:proofErr w:type="gramStart"/>
      <w:r w:rsidRPr="00CC677D">
        <w:rPr>
          <w:sz w:val="24"/>
          <w:szCs w:val="24"/>
        </w:rPr>
        <w:t>,2</w:t>
      </w:r>
      <w:proofErr w:type="gramEnd"/>
      <w:r w:rsidRPr="00CC677D">
        <w:rPr>
          <w:sz w:val="24"/>
          <w:szCs w:val="24"/>
        </w:rPr>
        <w:t>%).</w:t>
      </w:r>
    </w:p>
    <w:p w:rsidR="00744E26" w:rsidRPr="00CC677D" w:rsidRDefault="00744E26" w:rsidP="00CC677D">
      <w:pPr>
        <w:pStyle w:val="ListParagraph"/>
        <w:numPr>
          <w:ilvl w:val="0"/>
          <w:numId w:val="10"/>
        </w:numPr>
        <w:autoSpaceDE w:val="0"/>
        <w:autoSpaceDN w:val="0"/>
        <w:adjustRightInd w:val="0"/>
        <w:ind w:left="540"/>
        <w:rPr>
          <w:sz w:val="24"/>
          <w:szCs w:val="24"/>
        </w:rPr>
      </w:pPr>
      <w:r w:rsidRPr="00CC677D">
        <w:rPr>
          <w:sz w:val="24"/>
          <w:szCs w:val="24"/>
        </w:rPr>
        <w:t>Likuiditas β bernilai 0,002 berarti setiap peningkatan variabel Likuiditas sebesar 1, maka agresivitas pajak meningkat sebesar 0,002 (0</w:t>
      </w:r>
      <w:proofErr w:type="gramStart"/>
      <w:r w:rsidRPr="00CC677D">
        <w:rPr>
          <w:sz w:val="24"/>
          <w:szCs w:val="24"/>
        </w:rPr>
        <w:t>,2</w:t>
      </w:r>
      <w:proofErr w:type="gramEnd"/>
      <w:r w:rsidRPr="00CC677D">
        <w:rPr>
          <w:sz w:val="24"/>
          <w:szCs w:val="24"/>
        </w:rPr>
        <w:t>%).</w:t>
      </w:r>
    </w:p>
    <w:p w:rsidR="00744E26" w:rsidRPr="00CC677D" w:rsidRDefault="00744E26" w:rsidP="00CC677D">
      <w:pPr>
        <w:pStyle w:val="ListParagraph"/>
        <w:numPr>
          <w:ilvl w:val="0"/>
          <w:numId w:val="10"/>
        </w:numPr>
        <w:autoSpaceDE w:val="0"/>
        <w:autoSpaceDN w:val="0"/>
        <w:adjustRightInd w:val="0"/>
        <w:ind w:left="540"/>
        <w:rPr>
          <w:sz w:val="24"/>
          <w:szCs w:val="24"/>
        </w:rPr>
      </w:pPr>
      <w:r w:rsidRPr="00CC677D">
        <w:rPr>
          <w:i/>
          <w:sz w:val="24"/>
          <w:szCs w:val="24"/>
        </w:rPr>
        <w:t>Leverage</w:t>
      </w:r>
      <w:r w:rsidRPr="00CC677D">
        <w:rPr>
          <w:sz w:val="24"/>
          <w:szCs w:val="24"/>
        </w:rPr>
        <w:t xml:space="preserve"> β bernilai 0,197 berarti setiap peningkatan variabel </w:t>
      </w:r>
      <w:r w:rsidRPr="00CC677D">
        <w:rPr>
          <w:i/>
          <w:sz w:val="24"/>
          <w:szCs w:val="24"/>
        </w:rPr>
        <w:t xml:space="preserve">leverage </w:t>
      </w:r>
      <w:r w:rsidRPr="00CC677D">
        <w:rPr>
          <w:sz w:val="24"/>
          <w:szCs w:val="24"/>
        </w:rPr>
        <w:t>sebesar 1, maka agresivitas pajak meningkat sebesar 0,197 (19</w:t>
      </w:r>
      <w:proofErr w:type="gramStart"/>
      <w:r w:rsidRPr="00CC677D">
        <w:rPr>
          <w:sz w:val="24"/>
          <w:szCs w:val="24"/>
        </w:rPr>
        <w:t>,7</w:t>
      </w:r>
      <w:proofErr w:type="gramEnd"/>
      <w:r w:rsidRPr="00CC677D">
        <w:rPr>
          <w:sz w:val="24"/>
          <w:szCs w:val="24"/>
        </w:rPr>
        <w:t>%).</w:t>
      </w:r>
    </w:p>
    <w:p w:rsidR="00744E26" w:rsidRPr="00CC677D" w:rsidRDefault="00744E26" w:rsidP="00CC677D">
      <w:pPr>
        <w:pStyle w:val="ListParagraph"/>
        <w:numPr>
          <w:ilvl w:val="0"/>
          <w:numId w:val="10"/>
        </w:numPr>
        <w:autoSpaceDE w:val="0"/>
        <w:autoSpaceDN w:val="0"/>
        <w:adjustRightInd w:val="0"/>
        <w:ind w:left="540"/>
        <w:rPr>
          <w:sz w:val="24"/>
          <w:szCs w:val="24"/>
        </w:rPr>
      </w:pPr>
      <w:r w:rsidRPr="00CC677D">
        <w:rPr>
          <w:sz w:val="24"/>
          <w:szCs w:val="24"/>
        </w:rPr>
        <w:t>e = error</w:t>
      </w:r>
    </w:p>
    <w:p w:rsidR="00744E26" w:rsidRPr="00CC677D" w:rsidRDefault="00744E26" w:rsidP="00CC677D">
      <w:pPr>
        <w:autoSpaceDE w:val="0"/>
        <w:autoSpaceDN w:val="0"/>
        <w:adjustRightInd w:val="0"/>
        <w:rPr>
          <w:b/>
          <w:sz w:val="24"/>
          <w:szCs w:val="24"/>
        </w:rPr>
      </w:pPr>
      <w:r w:rsidRPr="00CC677D">
        <w:rPr>
          <w:b/>
          <w:sz w:val="24"/>
          <w:szCs w:val="24"/>
        </w:rPr>
        <w:t>Pembahasan Hasil Penelitian</w:t>
      </w:r>
    </w:p>
    <w:p w:rsidR="00744E26" w:rsidRPr="00CC677D" w:rsidRDefault="00744E26" w:rsidP="00CC677D">
      <w:pPr>
        <w:pStyle w:val="ListParagraph"/>
        <w:numPr>
          <w:ilvl w:val="0"/>
          <w:numId w:val="11"/>
        </w:numPr>
        <w:autoSpaceDE w:val="0"/>
        <w:autoSpaceDN w:val="0"/>
        <w:adjustRightInd w:val="0"/>
        <w:ind w:left="360"/>
        <w:jc w:val="both"/>
        <w:rPr>
          <w:sz w:val="24"/>
          <w:szCs w:val="24"/>
        </w:rPr>
      </w:pPr>
      <w:r w:rsidRPr="00CC677D">
        <w:rPr>
          <w:sz w:val="24"/>
          <w:szCs w:val="24"/>
        </w:rPr>
        <w:t xml:space="preserve">Pengaruh </w:t>
      </w:r>
      <w:r w:rsidRPr="00CC677D">
        <w:rPr>
          <w:i/>
          <w:sz w:val="24"/>
          <w:szCs w:val="24"/>
        </w:rPr>
        <w:t>Corporate Social Responsibility</w:t>
      </w:r>
      <w:r w:rsidRPr="00CC677D">
        <w:rPr>
          <w:sz w:val="24"/>
          <w:szCs w:val="24"/>
        </w:rPr>
        <w:t xml:space="preserve"> (CSR) terhadap agresivitas pajak</w:t>
      </w:r>
    </w:p>
    <w:p w:rsidR="00744E26" w:rsidRPr="00CC677D" w:rsidRDefault="00744E26" w:rsidP="00CC677D">
      <w:pPr>
        <w:pStyle w:val="ListParagraph"/>
        <w:autoSpaceDE w:val="0"/>
        <w:autoSpaceDN w:val="0"/>
        <w:adjustRightInd w:val="0"/>
        <w:ind w:left="0" w:firstLine="540"/>
        <w:jc w:val="both"/>
        <w:rPr>
          <w:sz w:val="24"/>
          <w:szCs w:val="24"/>
        </w:rPr>
      </w:pPr>
      <w:proofErr w:type="gramStart"/>
      <w:r w:rsidRPr="00CC677D">
        <w:rPr>
          <w:sz w:val="24"/>
          <w:szCs w:val="24"/>
        </w:rPr>
        <w:t>Berdasarkan hasil pengujian terhadap H</w:t>
      </w:r>
      <w:r w:rsidRPr="00CC677D">
        <w:rPr>
          <w:sz w:val="24"/>
          <w:szCs w:val="24"/>
          <w:vertAlign w:val="subscript"/>
        </w:rPr>
        <w:t>1</w:t>
      </w:r>
      <w:r w:rsidRPr="00CC677D">
        <w:rPr>
          <w:sz w:val="24"/>
          <w:szCs w:val="24"/>
        </w:rPr>
        <w:t xml:space="preserve"> menunjukkan bahwa </w:t>
      </w:r>
      <w:r w:rsidRPr="00CC677D">
        <w:rPr>
          <w:i/>
          <w:sz w:val="24"/>
          <w:szCs w:val="24"/>
        </w:rPr>
        <w:t>Corporate Social Responsibility</w:t>
      </w:r>
      <w:r w:rsidRPr="00CC677D">
        <w:rPr>
          <w:sz w:val="24"/>
          <w:szCs w:val="24"/>
        </w:rPr>
        <w:t xml:space="preserve"> (CSR) berpengaruh negatif secara signifikan terhadap praktek agresivitas pajak.</w:t>
      </w:r>
      <w:proofErr w:type="gramEnd"/>
      <w:r w:rsidRPr="00CC677D">
        <w:rPr>
          <w:sz w:val="24"/>
          <w:szCs w:val="24"/>
        </w:rPr>
        <w:t xml:space="preserve"> Hal ini dapat ditunjukkan pada nilai sig. pada uji t sebesaar 0,039 yang berarti lebih kecil dari 0</w:t>
      </w:r>
      <w:proofErr w:type="gramStart"/>
      <w:r w:rsidRPr="00CC677D">
        <w:rPr>
          <w:sz w:val="24"/>
          <w:szCs w:val="24"/>
        </w:rPr>
        <w:t>,05</w:t>
      </w:r>
      <w:proofErr w:type="gramEnd"/>
      <w:r w:rsidRPr="00CC677D">
        <w:rPr>
          <w:sz w:val="24"/>
          <w:szCs w:val="24"/>
        </w:rPr>
        <w:t xml:space="preserve">. </w:t>
      </w:r>
      <w:proofErr w:type="gramStart"/>
      <w:r w:rsidRPr="00CC677D">
        <w:rPr>
          <w:sz w:val="24"/>
          <w:szCs w:val="24"/>
        </w:rPr>
        <w:t>Dengan demikian, H</w:t>
      </w:r>
      <w:r w:rsidRPr="00CC677D">
        <w:rPr>
          <w:sz w:val="24"/>
          <w:szCs w:val="24"/>
          <w:vertAlign w:val="subscript"/>
        </w:rPr>
        <w:t xml:space="preserve">1 </w:t>
      </w:r>
      <w:r w:rsidRPr="00CC677D">
        <w:rPr>
          <w:sz w:val="24"/>
          <w:szCs w:val="24"/>
        </w:rPr>
        <w:t>diterima dan menunjukkan bahwa semakin tinggi tingkat pengungkapan CSR suatu perusahaan, maka tingkat agresivitas pajak yang dilakukan semakin rendah.</w:t>
      </w:r>
      <w:proofErr w:type="gramEnd"/>
      <w:r w:rsidRPr="00CC677D">
        <w:rPr>
          <w:sz w:val="24"/>
          <w:szCs w:val="24"/>
        </w:rPr>
        <w:t xml:space="preserve"> Jika perusahaan semakin menyadari pentingnya CSR, maka perusahaan </w:t>
      </w:r>
      <w:proofErr w:type="gramStart"/>
      <w:r w:rsidRPr="00CC677D">
        <w:rPr>
          <w:sz w:val="24"/>
          <w:szCs w:val="24"/>
        </w:rPr>
        <w:t>akan</w:t>
      </w:r>
      <w:proofErr w:type="gramEnd"/>
      <w:r w:rsidRPr="00CC677D">
        <w:rPr>
          <w:sz w:val="24"/>
          <w:szCs w:val="24"/>
        </w:rPr>
        <w:t xml:space="preserve"> semakin menyadari betapa pentingnya kontribusi perusahaan dalam membayar pajak. Hal ini dikarenaan pajak yang dibayarkan perusahaan nantinya </w:t>
      </w:r>
      <w:proofErr w:type="gramStart"/>
      <w:r w:rsidRPr="00CC677D">
        <w:rPr>
          <w:sz w:val="24"/>
          <w:szCs w:val="24"/>
        </w:rPr>
        <w:t>akan</w:t>
      </w:r>
      <w:proofErr w:type="gramEnd"/>
      <w:r w:rsidRPr="00CC677D">
        <w:rPr>
          <w:sz w:val="24"/>
          <w:szCs w:val="24"/>
        </w:rPr>
        <w:t xml:space="preserve"> diberikan dalam bentuk pelayanan dan fasilitas untuk kepentingan masyarakat dan negara. </w:t>
      </w:r>
      <w:proofErr w:type="gramStart"/>
      <w:r w:rsidRPr="00CC677D">
        <w:rPr>
          <w:sz w:val="24"/>
          <w:szCs w:val="24"/>
        </w:rPr>
        <w:t>Jadi kewajiban perusahaan membayar pajak mencerminkan bahwa perusahaan peduli terhadap lingkungan dan keadaan sosial tempat dimana perusahaan tersebut beroperasi.</w:t>
      </w:r>
      <w:proofErr w:type="gramEnd"/>
      <w:r w:rsidRPr="00CC677D">
        <w:rPr>
          <w:sz w:val="24"/>
          <w:szCs w:val="24"/>
        </w:rPr>
        <w:t xml:space="preserve"> </w:t>
      </w:r>
      <w:proofErr w:type="gramStart"/>
      <w:r w:rsidRPr="00CC677D">
        <w:rPr>
          <w:sz w:val="24"/>
          <w:szCs w:val="24"/>
        </w:rPr>
        <w:t>Semakin perusahaan agresif dalam hal perpajakan, maka perusahaan tersebut kurang peduli terhadap lingkungan sekitarnya.</w:t>
      </w:r>
      <w:proofErr w:type="gramEnd"/>
      <w:r w:rsidRPr="00CC677D">
        <w:rPr>
          <w:sz w:val="24"/>
          <w:szCs w:val="24"/>
        </w:rPr>
        <w:t xml:space="preserve"> </w:t>
      </w:r>
    </w:p>
    <w:p w:rsidR="00744E26" w:rsidRPr="00CC677D" w:rsidRDefault="00744E26" w:rsidP="00CC677D">
      <w:pPr>
        <w:pStyle w:val="ListParagraph"/>
        <w:autoSpaceDE w:val="0"/>
        <w:autoSpaceDN w:val="0"/>
        <w:adjustRightInd w:val="0"/>
        <w:ind w:left="0" w:firstLine="630"/>
        <w:jc w:val="both"/>
        <w:rPr>
          <w:sz w:val="24"/>
          <w:szCs w:val="24"/>
        </w:rPr>
      </w:pPr>
      <w:r w:rsidRPr="00CC677D">
        <w:rPr>
          <w:sz w:val="24"/>
          <w:szCs w:val="24"/>
        </w:rPr>
        <w:t xml:space="preserve">Penelitian ini sejalan dengan penelitian yang dilakukan oleh Nugraha dan Meiranto (2015), Kuriah dan Asyik (2016), Sari dan Tjen (2016), Mgbame et al (2017) dan Yogiswari dan Ramantha (2017) yang menyatakan bahwa variabel </w:t>
      </w:r>
      <w:r w:rsidRPr="00CC677D">
        <w:rPr>
          <w:i/>
          <w:sz w:val="24"/>
          <w:szCs w:val="24"/>
        </w:rPr>
        <w:t>Corporate Social Responsibility</w:t>
      </w:r>
      <w:r w:rsidRPr="00CC677D">
        <w:rPr>
          <w:sz w:val="24"/>
          <w:szCs w:val="24"/>
        </w:rPr>
        <w:t xml:space="preserve"> berpengaruh negatif secara signifikan. </w:t>
      </w:r>
    </w:p>
    <w:p w:rsidR="00744E26" w:rsidRPr="00CC677D" w:rsidRDefault="00744E26" w:rsidP="00CC677D">
      <w:pPr>
        <w:pStyle w:val="ListParagraph"/>
        <w:autoSpaceDE w:val="0"/>
        <w:autoSpaceDN w:val="0"/>
        <w:adjustRightInd w:val="0"/>
        <w:ind w:left="0" w:firstLine="630"/>
        <w:jc w:val="both"/>
        <w:rPr>
          <w:sz w:val="24"/>
          <w:szCs w:val="24"/>
        </w:rPr>
      </w:pPr>
    </w:p>
    <w:p w:rsidR="00744E26" w:rsidRPr="00CC677D" w:rsidRDefault="00744E26" w:rsidP="00CC677D">
      <w:pPr>
        <w:pStyle w:val="ListParagraph"/>
        <w:numPr>
          <w:ilvl w:val="0"/>
          <w:numId w:val="12"/>
        </w:numPr>
        <w:autoSpaceDE w:val="0"/>
        <w:autoSpaceDN w:val="0"/>
        <w:adjustRightInd w:val="0"/>
        <w:ind w:left="360"/>
        <w:jc w:val="both"/>
        <w:rPr>
          <w:sz w:val="24"/>
          <w:szCs w:val="24"/>
        </w:rPr>
      </w:pPr>
      <w:r w:rsidRPr="00CC677D">
        <w:rPr>
          <w:sz w:val="24"/>
          <w:szCs w:val="24"/>
        </w:rPr>
        <w:t>Pengaruh Likuiditas terhadap agresivitas pajak</w:t>
      </w:r>
    </w:p>
    <w:p w:rsidR="00744E26" w:rsidRPr="00CC677D" w:rsidRDefault="00744E26" w:rsidP="00CC677D">
      <w:pPr>
        <w:pStyle w:val="ListParagraph"/>
        <w:autoSpaceDE w:val="0"/>
        <w:autoSpaceDN w:val="0"/>
        <w:adjustRightInd w:val="0"/>
        <w:ind w:left="0" w:firstLine="630"/>
        <w:jc w:val="both"/>
        <w:rPr>
          <w:sz w:val="24"/>
          <w:szCs w:val="24"/>
        </w:rPr>
      </w:pPr>
      <w:proofErr w:type="gramStart"/>
      <w:r w:rsidRPr="00CC677D">
        <w:rPr>
          <w:sz w:val="24"/>
          <w:szCs w:val="24"/>
        </w:rPr>
        <w:t>Berdasarkan hasil pengujian, maka diperoleh hasil bahwa H</w:t>
      </w:r>
      <w:r w:rsidRPr="00CC677D">
        <w:rPr>
          <w:sz w:val="24"/>
          <w:szCs w:val="24"/>
          <w:vertAlign w:val="subscript"/>
        </w:rPr>
        <w:t>2</w:t>
      </w:r>
      <w:r w:rsidRPr="00CC677D">
        <w:rPr>
          <w:sz w:val="24"/>
          <w:szCs w:val="24"/>
        </w:rPr>
        <w:t xml:space="preserve"> ditolak yang berarti variabel likuiditas tidak berpengaruh signifikan terhadap agresivitas pajak (ETR).</w:t>
      </w:r>
      <w:proofErr w:type="gramEnd"/>
      <w:r w:rsidRPr="00CC677D">
        <w:rPr>
          <w:sz w:val="24"/>
          <w:szCs w:val="24"/>
        </w:rPr>
        <w:t xml:space="preserve"> Hal ini ditunjukan pada nilai sig. pada uji t adalah sebesar 0,862 yang berarti lebih besar dari 0</w:t>
      </w:r>
      <w:proofErr w:type="gramStart"/>
      <w:r w:rsidRPr="00CC677D">
        <w:rPr>
          <w:sz w:val="24"/>
          <w:szCs w:val="24"/>
        </w:rPr>
        <w:t>,05</w:t>
      </w:r>
      <w:proofErr w:type="gramEnd"/>
      <w:r w:rsidRPr="00CC677D">
        <w:rPr>
          <w:sz w:val="24"/>
          <w:szCs w:val="24"/>
        </w:rPr>
        <w:t xml:space="preserve">. </w:t>
      </w:r>
      <w:proofErr w:type="gramStart"/>
      <w:r w:rsidRPr="00CC677D">
        <w:rPr>
          <w:sz w:val="24"/>
          <w:szCs w:val="24"/>
        </w:rPr>
        <w:t>Tidak signifikannya hubungan antara likuiditas terhadap agresivitas pajak dapat disebabkan tingkat likuiditas perusahaan sampel yang cukup baik.</w:t>
      </w:r>
      <w:proofErr w:type="gramEnd"/>
      <w:r w:rsidRPr="00CC677D">
        <w:rPr>
          <w:sz w:val="24"/>
          <w:szCs w:val="24"/>
        </w:rPr>
        <w:t xml:space="preserve"> Hal ini dibuktikan pada analisis deskriptif dimana nilai </w:t>
      </w:r>
      <w:r w:rsidRPr="00CC677D">
        <w:rPr>
          <w:i/>
          <w:sz w:val="24"/>
          <w:szCs w:val="24"/>
        </w:rPr>
        <w:t>mean</w:t>
      </w:r>
      <w:r w:rsidRPr="00CC677D">
        <w:rPr>
          <w:sz w:val="24"/>
          <w:szCs w:val="24"/>
        </w:rPr>
        <w:t xml:space="preserve"> (rata-rata) likuiditas sebesar 1</w:t>
      </w:r>
      <w:proofErr w:type="gramStart"/>
      <w:r w:rsidRPr="00CC677D">
        <w:rPr>
          <w:sz w:val="24"/>
          <w:szCs w:val="24"/>
        </w:rPr>
        <w:t>,80</w:t>
      </w:r>
      <w:proofErr w:type="gramEnd"/>
      <w:r w:rsidRPr="00CC677D">
        <w:rPr>
          <w:sz w:val="24"/>
          <w:szCs w:val="24"/>
        </w:rPr>
        <w:t xml:space="preserve"> dan nilai maksimum hingga mencapai 4,29.</w:t>
      </w:r>
    </w:p>
    <w:p w:rsidR="00744E26" w:rsidRPr="00CC677D" w:rsidRDefault="00744E26" w:rsidP="00CC677D">
      <w:pPr>
        <w:pStyle w:val="ListParagraph"/>
        <w:autoSpaceDE w:val="0"/>
        <w:autoSpaceDN w:val="0"/>
        <w:adjustRightInd w:val="0"/>
        <w:ind w:left="0" w:firstLine="630"/>
        <w:jc w:val="both"/>
        <w:rPr>
          <w:sz w:val="24"/>
          <w:szCs w:val="24"/>
        </w:rPr>
      </w:pPr>
      <w:r w:rsidRPr="00CC677D">
        <w:rPr>
          <w:sz w:val="24"/>
          <w:szCs w:val="24"/>
        </w:rPr>
        <w:t xml:space="preserve">Dalam hal ini, apabila perusahaan mampu memenuhi kewajiban keuangannya tepat pada waktunya maka perusahaan tersebut dalam keadaan </w:t>
      </w:r>
      <w:proofErr w:type="gramStart"/>
      <w:r w:rsidRPr="00CC677D">
        <w:rPr>
          <w:i/>
          <w:sz w:val="24"/>
          <w:szCs w:val="24"/>
        </w:rPr>
        <w:t xml:space="preserve">likuid </w:t>
      </w:r>
      <w:r w:rsidRPr="00CC677D">
        <w:rPr>
          <w:sz w:val="24"/>
          <w:szCs w:val="24"/>
        </w:rPr>
        <w:t xml:space="preserve"> yang</w:t>
      </w:r>
      <w:proofErr w:type="gramEnd"/>
      <w:r w:rsidRPr="00CC677D">
        <w:rPr>
          <w:sz w:val="24"/>
          <w:szCs w:val="24"/>
          <w:lang w:val="id-ID"/>
        </w:rPr>
        <w:t xml:space="preserve"> </w:t>
      </w:r>
      <w:r w:rsidRPr="00CC677D">
        <w:rPr>
          <w:sz w:val="24"/>
          <w:szCs w:val="24"/>
        </w:rPr>
        <w:t>mana ditunjukkan dengan tingkat likuiditas yang cukup baik dan perusahaan memiliki kemampuan untuk membayar kewajiban pajaknya sesuai dengan ketentuan perpajakan sehingga perusahaan tidak melakukan agresivitas pajak.</w:t>
      </w:r>
    </w:p>
    <w:p w:rsidR="00744E26" w:rsidRPr="00CC677D" w:rsidRDefault="00744E26" w:rsidP="00CC677D">
      <w:pPr>
        <w:pStyle w:val="ListParagraph"/>
        <w:autoSpaceDE w:val="0"/>
        <w:autoSpaceDN w:val="0"/>
        <w:adjustRightInd w:val="0"/>
        <w:ind w:left="0"/>
        <w:jc w:val="both"/>
        <w:rPr>
          <w:sz w:val="24"/>
          <w:szCs w:val="24"/>
        </w:rPr>
      </w:pPr>
      <w:proofErr w:type="gramStart"/>
      <w:r w:rsidRPr="00CC677D">
        <w:rPr>
          <w:sz w:val="24"/>
          <w:szCs w:val="24"/>
        </w:rPr>
        <w:t>Penelitian terdahulu yang sejalan dengan penelitian ini adalah penelitian yang dilakukan oleh Yogiswari dan Ramantha (2017) yang menemukan bahwa likuiditas tidak berpengaruh secara signifikan terhadap agresivitas pajak.</w:t>
      </w:r>
      <w:proofErr w:type="gramEnd"/>
      <w:r w:rsidRPr="00CC677D">
        <w:rPr>
          <w:sz w:val="24"/>
          <w:szCs w:val="24"/>
        </w:rPr>
        <w:t xml:space="preserve"> </w:t>
      </w:r>
      <w:proofErr w:type="gramStart"/>
      <w:r w:rsidRPr="00CC677D">
        <w:rPr>
          <w:sz w:val="24"/>
          <w:szCs w:val="24"/>
        </w:rPr>
        <w:t>Namun penelitian ini tidak mendukung penelitian yang dilakukan oleh Adisamartha dan Noviari (2015), Sukmawati dan Rebecca (2016) yang menyatakan bahwa likuiditas berpengaruh signifikan tehadap agresivitas pajak.</w:t>
      </w:r>
      <w:proofErr w:type="gramEnd"/>
    </w:p>
    <w:p w:rsidR="00744E26" w:rsidRPr="00CC677D" w:rsidRDefault="00744E26" w:rsidP="00CC677D">
      <w:pPr>
        <w:pStyle w:val="ListParagraph"/>
        <w:numPr>
          <w:ilvl w:val="0"/>
          <w:numId w:val="12"/>
        </w:numPr>
        <w:autoSpaceDE w:val="0"/>
        <w:autoSpaceDN w:val="0"/>
        <w:adjustRightInd w:val="0"/>
        <w:ind w:left="360"/>
        <w:jc w:val="both"/>
        <w:rPr>
          <w:sz w:val="24"/>
          <w:szCs w:val="24"/>
        </w:rPr>
      </w:pPr>
      <w:r w:rsidRPr="00CC677D">
        <w:rPr>
          <w:sz w:val="24"/>
          <w:szCs w:val="24"/>
        </w:rPr>
        <w:t xml:space="preserve">Pengaruh </w:t>
      </w:r>
      <w:r w:rsidRPr="00CC677D">
        <w:rPr>
          <w:i/>
          <w:sz w:val="24"/>
          <w:szCs w:val="24"/>
        </w:rPr>
        <w:t>Leverage</w:t>
      </w:r>
      <w:r w:rsidRPr="00CC677D">
        <w:rPr>
          <w:sz w:val="24"/>
          <w:szCs w:val="24"/>
        </w:rPr>
        <w:t xml:space="preserve"> terhadap agresivitas pajak</w:t>
      </w:r>
    </w:p>
    <w:p w:rsidR="00744E26" w:rsidRPr="00CC677D" w:rsidRDefault="00744E26" w:rsidP="00CC677D">
      <w:pPr>
        <w:pStyle w:val="ListParagraph"/>
        <w:autoSpaceDE w:val="0"/>
        <w:autoSpaceDN w:val="0"/>
        <w:adjustRightInd w:val="0"/>
        <w:ind w:left="0" w:firstLine="630"/>
        <w:jc w:val="both"/>
        <w:rPr>
          <w:sz w:val="24"/>
          <w:szCs w:val="24"/>
        </w:rPr>
      </w:pPr>
      <w:proofErr w:type="gramStart"/>
      <w:r w:rsidRPr="00CC677D">
        <w:rPr>
          <w:sz w:val="24"/>
          <w:szCs w:val="24"/>
        </w:rPr>
        <w:t>Berdasarkan hasil pengujian, maka diperoleh hasil bahwa H</w:t>
      </w:r>
      <w:r w:rsidRPr="00CC677D">
        <w:rPr>
          <w:sz w:val="24"/>
          <w:szCs w:val="24"/>
          <w:vertAlign w:val="subscript"/>
        </w:rPr>
        <w:t>3</w:t>
      </w:r>
      <w:r w:rsidRPr="00CC677D">
        <w:rPr>
          <w:sz w:val="24"/>
          <w:szCs w:val="24"/>
        </w:rPr>
        <w:t xml:space="preserve"> diterima karena variabel </w:t>
      </w:r>
      <w:r w:rsidRPr="00CC677D">
        <w:rPr>
          <w:i/>
          <w:sz w:val="24"/>
          <w:szCs w:val="24"/>
        </w:rPr>
        <w:t xml:space="preserve">leverage </w:t>
      </w:r>
      <w:r w:rsidRPr="00CC677D">
        <w:rPr>
          <w:sz w:val="24"/>
          <w:szCs w:val="24"/>
        </w:rPr>
        <w:t>berpengaruh positif secara signifikan terhadap praktek agresivitas pajak.</w:t>
      </w:r>
      <w:proofErr w:type="gramEnd"/>
      <w:r w:rsidRPr="00CC677D">
        <w:rPr>
          <w:sz w:val="24"/>
          <w:szCs w:val="24"/>
        </w:rPr>
        <w:t xml:space="preserve"> Hal ini dapat ditunjukkan pada nilai sig. pada uji t sebesaar 0,025 yang berarti lebih kecil dari 0</w:t>
      </w:r>
      <w:proofErr w:type="gramStart"/>
      <w:r w:rsidRPr="00CC677D">
        <w:rPr>
          <w:sz w:val="24"/>
          <w:szCs w:val="24"/>
        </w:rPr>
        <w:t>,05</w:t>
      </w:r>
      <w:proofErr w:type="gramEnd"/>
      <w:r w:rsidRPr="00CC677D">
        <w:rPr>
          <w:sz w:val="24"/>
          <w:szCs w:val="24"/>
        </w:rPr>
        <w:t xml:space="preserve">. Hasil penelitian ini sejalan dengan penelitian yang dilakukan oleh Nugraha dan Meiranto (2015), Kuriah dan Asyik (2016), Sukmawati dan Rebecca (2016) yang meyatakan bahwa </w:t>
      </w:r>
      <w:r w:rsidRPr="00CC677D">
        <w:rPr>
          <w:i/>
          <w:sz w:val="24"/>
          <w:szCs w:val="24"/>
        </w:rPr>
        <w:t xml:space="preserve">leverage </w:t>
      </w:r>
      <w:r w:rsidRPr="00CC677D">
        <w:rPr>
          <w:sz w:val="24"/>
          <w:szCs w:val="24"/>
        </w:rPr>
        <w:t xml:space="preserve">berpengaruh signifikan terhadap agresivitas pajak. Besar kecilnya </w:t>
      </w:r>
      <w:r w:rsidRPr="00CC677D">
        <w:rPr>
          <w:i/>
          <w:sz w:val="24"/>
          <w:szCs w:val="24"/>
        </w:rPr>
        <w:t>leverage</w:t>
      </w:r>
      <w:r w:rsidRPr="00CC677D">
        <w:rPr>
          <w:sz w:val="24"/>
          <w:szCs w:val="24"/>
        </w:rPr>
        <w:t xml:space="preserve"> pada perusahaan dapat mempengaruhi besar kecilnya pajak yang dibayarkan perusahaan. </w:t>
      </w:r>
      <w:proofErr w:type="gramStart"/>
      <w:r w:rsidRPr="00CC677D">
        <w:rPr>
          <w:sz w:val="24"/>
          <w:szCs w:val="24"/>
        </w:rPr>
        <w:t>Hal ini dikarenakan biaya bunga dari utang dapat dikurangkan dalam menghitung pajak sehingga beban pajak menjadi lebih kecil.</w:t>
      </w:r>
      <w:proofErr w:type="gramEnd"/>
      <w:r w:rsidRPr="00CC677D">
        <w:rPr>
          <w:sz w:val="24"/>
          <w:szCs w:val="24"/>
        </w:rPr>
        <w:t xml:space="preserve"> Sesuai dengan Peraturan Pajak Penghasilan (PPh) badan di Indonesia, mengatur bahwa bunga pinjaman dapat dikurangkan sebagai biaya </w:t>
      </w:r>
      <w:r w:rsidRPr="00CC677D">
        <w:rPr>
          <w:i/>
          <w:sz w:val="24"/>
          <w:szCs w:val="24"/>
        </w:rPr>
        <w:t>(tax deductible)</w:t>
      </w:r>
      <w:r w:rsidRPr="00CC677D">
        <w:rPr>
          <w:sz w:val="24"/>
          <w:szCs w:val="24"/>
        </w:rPr>
        <w:t xml:space="preserve"> sesuai Pasal 6 ayat (1) huruf a UU Nomor 36 tahun 2008. </w:t>
      </w:r>
      <w:proofErr w:type="gramStart"/>
      <w:r w:rsidRPr="00CC677D">
        <w:rPr>
          <w:sz w:val="24"/>
          <w:szCs w:val="24"/>
        </w:rPr>
        <w:t>Sehingga semakin besar utang perusahaan guna menghemat beban pajak maka perusahaan tersebut dianggap semakin agresif terhadap pajak.</w:t>
      </w:r>
      <w:proofErr w:type="gramEnd"/>
    </w:p>
    <w:p w:rsidR="00CC677D" w:rsidRDefault="00CC677D" w:rsidP="00CC677D">
      <w:pPr>
        <w:jc w:val="both"/>
        <w:rPr>
          <w:b/>
          <w:color w:val="000000" w:themeColor="text1"/>
          <w:sz w:val="24"/>
          <w:szCs w:val="24"/>
          <w:lang w:val="id-ID"/>
        </w:rPr>
      </w:pPr>
    </w:p>
    <w:p w:rsidR="00744E26" w:rsidRPr="00CC677D" w:rsidRDefault="00CC677D" w:rsidP="00CC677D">
      <w:pPr>
        <w:jc w:val="both"/>
        <w:rPr>
          <w:b/>
          <w:color w:val="000000" w:themeColor="text1"/>
          <w:sz w:val="24"/>
          <w:szCs w:val="24"/>
          <w:lang w:val="id-ID"/>
        </w:rPr>
      </w:pPr>
      <w:r w:rsidRPr="00CC677D">
        <w:rPr>
          <w:b/>
          <w:color w:val="000000" w:themeColor="text1"/>
          <w:sz w:val="24"/>
          <w:szCs w:val="24"/>
          <w:lang w:val="id-ID"/>
        </w:rPr>
        <w:t>PENUTUP</w:t>
      </w:r>
    </w:p>
    <w:p w:rsidR="00744E26" w:rsidRPr="00CC677D" w:rsidRDefault="00CC677D" w:rsidP="00CC677D">
      <w:pPr>
        <w:jc w:val="both"/>
        <w:rPr>
          <w:b/>
          <w:sz w:val="24"/>
          <w:szCs w:val="24"/>
          <w:lang w:val="id-ID"/>
        </w:rPr>
      </w:pPr>
      <w:r>
        <w:rPr>
          <w:b/>
          <w:sz w:val="24"/>
          <w:szCs w:val="24"/>
          <w:lang w:val="id-ID"/>
        </w:rPr>
        <w:t xml:space="preserve">Kesimpulan dan </w:t>
      </w:r>
      <w:r w:rsidR="00744E26" w:rsidRPr="00CC677D">
        <w:rPr>
          <w:b/>
          <w:sz w:val="24"/>
          <w:szCs w:val="24"/>
          <w:lang w:val="id-ID"/>
        </w:rPr>
        <w:t>Saran</w:t>
      </w:r>
    </w:p>
    <w:p w:rsidR="00744E26" w:rsidRPr="00CC677D" w:rsidRDefault="00744E26" w:rsidP="00CC677D">
      <w:pPr>
        <w:pStyle w:val="Default"/>
        <w:numPr>
          <w:ilvl w:val="0"/>
          <w:numId w:val="13"/>
        </w:numPr>
        <w:spacing w:after="240"/>
        <w:ind w:left="426" w:hanging="426"/>
        <w:jc w:val="both"/>
        <w:rPr>
          <w:lang w:val="fi-FI"/>
        </w:rPr>
      </w:pPr>
      <w:r w:rsidRPr="00CC677D">
        <w:rPr>
          <w:lang w:val="fi-FI"/>
        </w:rPr>
        <w:t>Memperbesar jumlah sampel dengan memperbanyak jumlah tahun dari masing-masing perusahaan.</w:t>
      </w:r>
    </w:p>
    <w:p w:rsidR="00744E26" w:rsidRPr="00CC677D" w:rsidRDefault="00744E26" w:rsidP="00CC677D">
      <w:pPr>
        <w:pStyle w:val="Default"/>
        <w:numPr>
          <w:ilvl w:val="0"/>
          <w:numId w:val="13"/>
        </w:numPr>
        <w:spacing w:after="240"/>
        <w:ind w:left="426" w:hanging="426"/>
        <w:jc w:val="both"/>
        <w:rPr>
          <w:lang w:val="fi-FI"/>
        </w:rPr>
      </w:pPr>
      <w:r w:rsidRPr="00CC677D">
        <w:rPr>
          <w:lang w:val="en-US"/>
        </w:rPr>
        <w:t xml:space="preserve">Menambah variabel independen yang </w:t>
      </w:r>
      <w:proofErr w:type="gramStart"/>
      <w:r w:rsidRPr="00CC677D">
        <w:rPr>
          <w:lang w:val="en-US"/>
        </w:rPr>
        <w:t>akan</w:t>
      </w:r>
      <w:proofErr w:type="gramEnd"/>
      <w:r w:rsidRPr="00CC677D">
        <w:rPr>
          <w:lang w:val="en-US"/>
        </w:rPr>
        <w:t xml:space="preserve"> memperbesar hubungan antara variabel independen dengan variabel dependen, sehingga akan diketahui variabel apa yang paling besar pengaruhnya</w:t>
      </w:r>
      <w:r w:rsidRPr="00CC677D">
        <w:t>.</w:t>
      </w:r>
    </w:p>
    <w:bookmarkStart w:id="0" w:name="_Toc485061774" w:displacedByCustomXml="next"/>
    <w:sdt>
      <w:sdtPr>
        <w:rPr>
          <w:rFonts w:ascii="Times New Roman" w:eastAsiaTheme="minorHAnsi" w:hAnsi="Times New Roman" w:cs="Times New Roman"/>
          <w:b w:val="0"/>
          <w:bCs w:val="0"/>
          <w:color w:val="000000" w:themeColor="text1"/>
          <w:kern w:val="0"/>
          <w:sz w:val="22"/>
          <w:szCs w:val="22"/>
        </w:rPr>
        <w:id w:val="-321888856"/>
        <w:docPartObj>
          <w:docPartGallery w:val="Bibliographies"/>
          <w:docPartUnique/>
        </w:docPartObj>
      </w:sdtPr>
      <w:sdtEndPr>
        <w:rPr>
          <w:rFonts w:asciiTheme="minorHAnsi" w:hAnsiTheme="minorHAnsi" w:cstheme="minorBidi"/>
        </w:rPr>
      </w:sdtEndPr>
      <w:sdtContent>
        <w:bookmarkEnd w:id="0" w:displacedByCustomXml="prev"/>
        <w:p w:rsidR="00744E26" w:rsidRDefault="00744E26" w:rsidP="00744E26">
          <w:pPr>
            <w:pStyle w:val="Heading1"/>
            <w:numPr>
              <w:ilvl w:val="0"/>
              <w:numId w:val="0"/>
            </w:numPr>
            <w:spacing w:line="480" w:lineRule="auto"/>
            <w:ind w:left="720"/>
            <w:rPr>
              <w:rFonts w:ascii="Times New Roman" w:eastAsiaTheme="minorHAnsi" w:hAnsi="Times New Roman" w:cs="Times New Roman"/>
              <w:bCs w:val="0"/>
              <w:color w:val="000000" w:themeColor="text1"/>
              <w:sz w:val="24"/>
              <w:szCs w:val="24"/>
              <w:lang w:val="id-ID"/>
            </w:rPr>
          </w:pPr>
        </w:p>
        <w:p w:rsidR="00744E26" w:rsidRPr="002F6AAA" w:rsidRDefault="00744E26" w:rsidP="00744E26">
          <w:pPr>
            <w:rPr>
              <w:lang w:val="id-ID"/>
            </w:rPr>
          </w:pPr>
        </w:p>
        <w:sdt>
          <w:sdtPr>
            <w:rPr>
              <w:rFonts w:asciiTheme="minorHAnsi" w:eastAsiaTheme="minorHAnsi" w:hAnsiTheme="minorHAnsi" w:cstheme="minorBidi"/>
              <w:color w:val="000000" w:themeColor="text1"/>
              <w:sz w:val="22"/>
              <w:szCs w:val="22"/>
            </w:rPr>
            <w:id w:val="1701208917"/>
            <w:bibliography/>
          </w:sdtPr>
          <w:sdtContent>
            <w:p w:rsidR="00744E26" w:rsidRDefault="00744E26" w:rsidP="00744E26">
              <w:pPr>
                <w:ind w:left="540" w:hanging="540"/>
                <w:jc w:val="center"/>
                <w:rPr>
                  <w:b/>
                  <w:sz w:val="24"/>
                  <w:szCs w:val="24"/>
                  <w:shd w:val="clear" w:color="auto" w:fill="FFFFFF"/>
                </w:rPr>
              </w:pPr>
              <w:r w:rsidRPr="00CB0CE5">
                <w:rPr>
                  <w:b/>
                  <w:sz w:val="24"/>
                  <w:szCs w:val="24"/>
                  <w:shd w:val="clear" w:color="auto" w:fill="FFFFFF"/>
                </w:rPr>
                <w:t>DAFTAR PUSTAKA</w:t>
              </w:r>
            </w:p>
            <w:p w:rsidR="00744E26" w:rsidRPr="00CB0CE5" w:rsidRDefault="00744E26" w:rsidP="00744E26">
              <w:pPr>
                <w:ind w:left="540" w:hanging="540"/>
                <w:jc w:val="center"/>
                <w:rPr>
                  <w:b/>
                  <w:sz w:val="24"/>
                  <w:szCs w:val="24"/>
                  <w:shd w:val="clear" w:color="auto" w:fill="FFFFFF"/>
                </w:rPr>
              </w:pPr>
            </w:p>
            <w:p w:rsidR="00744E26" w:rsidRDefault="00744E26" w:rsidP="00744E26">
              <w:pPr>
                <w:ind w:left="540" w:hanging="540"/>
                <w:jc w:val="both"/>
                <w:rPr>
                  <w:sz w:val="24"/>
                  <w:szCs w:val="24"/>
                  <w:shd w:val="clear" w:color="auto" w:fill="FFFFFF"/>
                </w:rPr>
              </w:pPr>
              <w:proofErr w:type="gramStart"/>
              <w:r w:rsidRPr="00A50BE8">
                <w:rPr>
                  <w:sz w:val="24"/>
                  <w:szCs w:val="24"/>
                  <w:shd w:val="clear" w:color="auto" w:fill="FFFFFF"/>
                </w:rPr>
                <w:t>Adisamartha, I. B. P. F., &amp; Noviari, N. (2015).</w:t>
              </w:r>
              <w:proofErr w:type="gramEnd"/>
              <w:r w:rsidRPr="00A50BE8">
                <w:rPr>
                  <w:sz w:val="24"/>
                  <w:szCs w:val="24"/>
                  <w:shd w:val="clear" w:color="auto" w:fill="FFFFFF"/>
                </w:rPr>
                <w:t xml:space="preserve"> </w:t>
              </w:r>
              <w:r w:rsidRPr="00A50BE8">
                <w:rPr>
                  <w:i/>
                  <w:sz w:val="24"/>
                  <w:szCs w:val="24"/>
                  <w:shd w:val="clear" w:color="auto" w:fill="FFFFFF"/>
                </w:rPr>
                <w:t>Pengaruh likuiditas, leverage, intensitas persediaan dan intensitas aset tetap pada tingkat agresivitas wajib pajak badan</w:t>
              </w:r>
              <w:r w:rsidRPr="00A50BE8">
                <w:rPr>
                  <w:sz w:val="24"/>
                  <w:szCs w:val="24"/>
                  <w:shd w:val="clear" w:color="auto" w:fill="FFFFFF"/>
                </w:rPr>
                <w:t>.</w:t>
              </w:r>
              <w:r w:rsidRPr="00A50BE8">
                <w:rPr>
                  <w:rStyle w:val="apple-converted-space"/>
                  <w:sz w:val="24"/>
                  <w:szCs w:val="24"/>
                  <w:shd w:val="clear" w:color="auto" w:fill="FFFFFF"/>
                </w:rPr>
                <w:t> </w:t>
              </w:r>
              <w:proofErr w:type="gramStart"/>
              <w:r w:rsidRPr="00A50BE8">
                <w:rPr>
                  <w:i/>
                  <w:iCs/>
                  <w:sz w:val="24"/>
                  <w:szCs w:val="24"/>
                  <w:shd w:val="clear" w:color="auto" w:fill="FFFFFF"/>
                </w:rPr>
                <w:t>E-Jurnal Akuntansi</w:t>
              </w:r>
              <w:r w:rsidRPr="00A50BE8">
                <w:rPr>
                  <w:sz w:val="24"/>
                  <w:szCs w:val="24"/>
                  <w:shd w:val="clear" w:color="auto" w:fill="FFFFFF"/>
                </w:rPr>
                <w:t>, 973-1000.</w:t>
              </w:r>
              <w:proofErr w:type="gramEnd"/>
            </w:p>
            <w:p w:rsidR="00744E26" w:rsidRDefault="00744E26" w:rsidP="00744E26">
              <w:pPr>
                <w:rPr>
                  <w:sz w:val="24"/>
                  <w:szCs w:val="24"/>
                </w:rPr>
              </w:pPr>
              <w:proofErr w:type="gramStart"/>
              <w:r>
                <w:rPr>
                  <w:sz w:val="24"/>
                  <w:szCs w:val="24"/>
                </w:rPr>
                <w:t>Berita.</w:t>
              </w:r>
              <w:proofErr w:type="gramEnd"/>
              <w:r>
                <w:rPr>
                  <w:sz w:val="24"/>
                  <w:szCs w:val="24"/>
                </w:rPr>
                <w:t xml:space="preserve"> </w:t>
              </w:r>
              <w:proofErr w:type="gramStart"/>
              <w:r>
                <w:rPr>
                  <w:sz w:val="24"/>
                  <w:szCs w:val="24"/>
                </w:rPr>
                <w:t>2015</w:t>
              </w:r>
              <w:r w:rsidRPr="00CC2AB9">
                <w:rPr>
                  <w:sz w:val="24"/>
                  <w:szCs w:val="24"/>
                </w:rPr>
                <w:t xml:space="preserve">. </w:t>
              </w:r>
              <w:r w:rsidRPr="00CC2AB9">
                <w:rPr>
                  <w:i/>
                  <w:sz w:val="24"/>
                  <w:szCs w:val="24"/>
                </w:rPr>
                <w:t>Kejahatan Keuangan di Sektor Pertambangan</w:t>
              </w:r>
              <w:r w:rsidRPr="00CC2AB9">
                <w:rPr>
                  <w:sz w:val="24"/>
                  <w:szCs w:val="24"/>
                </w:rPr>
                <w:t xml:space="preserve"> </w:t>
              </w:r>
              <w:hyperlink r:id="rId13" w:history="1">
                <w:r w:rsidRPr="00071276">
                  <w:rPr>
                    <w:rStyle w:val="Hyperlink"/>
                    <w:rFonts w:eastAsiaTheme="majorEastAsia"/>
                  </w:rPr>
                  <w:t>https://membunuhindonesia.net/2015/10/kejahatan-keuangan-di-sektor-pertambangan/</w:t>
                </w:r>
              </w:hyperlink>
              <w:r>
                <w:rPr>
                  <w:sz w:val="24"/>
                  <w:szCs w:val="24"/>
                </w:rPr>
                <w:t>.</w:t>
              </w:r>
              <w:proofErr w:type="gramEnd"/>
              <w:r>
                <w:rPr>
                  <w:sz w:val="24"/>
                  <w:szCs w:val="24"/>
                </w:rPr>
                <w:t xml:space="preserve"> </w:t>
              </w:r>
              <w:r w:rsidRPr="00A50BE8">
                <w:rPr>
                  <w:sz w:val="24"/>
                  <w:szCs w:val="24"/>
                </w:rPr>
                <w:t xml:space="preserve"> </w:t>
              </w:r>
              <w:proofErr w:type="gramStart"/>
              <w:r w:rsidRPr="00A50BE8">
                <w:rPr>
                  <w:sz w:val="24"/>
                  <w:szCs w:val="24"/>
                </w:rPr>
                <w:t xml:space="preserve">Diakses pada </w:t>
              </w:r>
              <w:r>
                <w:rPr>
                  <w:sz w:val="24"/>
                  <w:szCs w:val="24"/>
                </w:rPr>
                <w:t>22</w:t>
              </w:r>
              <w:r w:rsidRPr="00A50BE8">
                <w:rPr>
                  <w:sz w:val="24"/>
                  <w:szCs w:val="24"/>
                </w:rPr>
                <w:t xml:space="preserve"> Mei 2018.</w:t>
              </w:r>
              <w:proofErr w:type="gramEnd"/>
            </w:p>
            <w:p w:rsidR="00744E26" w:rsidRDefault="00744E26" w:rsidP="00744E26">
              <w:pPr>
                <w:rPr>
                  <w:sz w:val="24"/>
                  <w:szCs w:val="24"/>
                </w:rPr>
              </w:pPr>
              <w:proofErr w:type="gramStart"/>
              <w:r>
                <w:rPr>
                  <w:sz w:val="24"/>
                  <w:szCs w:val="24"/>
                </w:rPr>
                <w:lastRenderedPageBreak/>
                <w:t>Berita.</w:t>
              </w:r>
              <w:proofErr w:type="gramEnd"/>
              <w:r>
                <w:rPr>
                  <w:sz w:val="24"/>
                  <w:szCs w:val="24"/>
                </w:rPr>
                <w:t xml:space="preserve"> </w:t>
              </w:r>
              <w:proofErr w:type="gramStart"/>
              <w:r>
                <w:rPr>
                  <w:sz w:val="24"/>
                  <w:szCs w:val="24"/>
                </w:rPr>
                <w:t xml:space="preserve">2017 </w:t>
              </w:r>
              <w:r w:rsidRPr="004C262F">
                <w:rPr>
                  <w:i/>
                  <w:sz w:val="24"/>
                  <w:szCs w:val="24"/>
                </w:rPr>
                <w:t>Banyak Perusahaan Minerba Kemplang Pajak</w:t>
              </w:r>
              <w:r>
                <w:rPr>
                  <w:sz w:val="24"/>
                  <w:szCs w:val="24"/>
                </w:rPr>
                <w:t xml:space="preserve"> </w:t>
              </w:r>
              <w:hyperlink r:id="rId14" w:history="1">
                <w:r w:rsidRPr="00071276">
                  <w:rPr>
                    <w:rStyle w:val="Hyperlink"/>
                    <w:rFonts w:eastAsiaTheme="majorEastAsia"/>
                  </w:rPr>
                  <w:t>http://www.mediaindonesia.com/read/detail/105080-banyak-perusahaan-minerba-dan-sawit-kemplang-pajak</w:t>
                </w:r>
              </w:hyperlink>
              <w:r>
                <w:rPr>
                  <w:sz w:val="24"/>
                  <w:szCs w:val="24"/>
                </w:rPr>
                <w:t>.</w:t>
              </w:r>
              <w:proofErr w:type="gramEnd"/>
              <w:r w:rsidRPr="00A50BE8">
                <w:rPr>
                  <w:sz w:val="24"/>
                  <w:szCs w:val="24"/>
                </w:rPr>
                <w:t xml:space="preserve"> </w:t>
              </w:r>
              <w:proofErr w:type="gramStart"/>
              <w:r w:rsidRPr="00A50BE8">
                <w:rPr>
                  <w:sz w:val="24"/>
                  <w:szCs w:val="24"/>
                </w:rPr>
                <w:t xml:space="preserve">Diakses pada </w:t>
              </w:r>
              <w:r>
                <w:rPr>
                  <w:sz w:val="24"/>
                  <w:szCs w:val="24"/>
                </w:rPr>
                <w:t>22</w:t>
              </w:r>
              <w:r w:rsidRPr="00A50BE8">
                <w:rPr>
                  <w:sz w:val="24"/>
                  <w:szCs w:val="24"/>
                </w:rPr>
                <w:t xml:space="preserve"> Mei 2018.</w:t>
              </w:r>
              <w:proofErr w:type="gramEnd"/>
            </w:p>
            <w:p w:rsidR="00744E26" w:rsidRDefault="00744E26" w:rsidP="00744E26">
              <w:pPr>
                <w:jc w:val="both"/>
                <w:rPr>
                  <w:sz w:val="24"/>
                  <w:szCs w:val="24"/>
                </w:rPr>
              </w:pPr>
              <w:proofErr w:type="gramStart"/>
              <w:r>
                <w:rPr>
                  <w:sz w:val="24"/>
                  <w:szCs w:val="24"/>
                </w:rPr>
                <w:t>Berita.</w:t>
              </w:r>
              <w:proofErr w:type="gramEnd"/>
              <w:r>
                <w:rPr>
                  <w:sz w:val="24"/>
                  <w:szCs w:val="24"/>
                </w:rPr>
                <w:t xml:space="preserve"> 2017. </w:t>
              </w:r>
              <w:r>
                <w:rPr>
                  <w:i/>
                  <w:sz w:val="24"/>
                  <w:szCs w:val="24"/>
                </w:rPr>
                <w:t xml:space="preserve">Fantastis! </w:t>
              </w:r>
              <w:proofErr w:type="gramStart"/>
              <w:r>
                <w:rPr>
                  <w:i/>
                  <w:sz w:val="24"/>
                  <w:szCs w:val="24"/>
                </w:rPr>
                <w:t>Rp 328M Pajak IUP Non NPWP Perusahaan Tambang Tertunggak</w:t>
              </w:r>
              <w:r>
                <w:rPr>
                  <w:sz w:val="24"/>
                  <w:szCs w:val="24"/>
                </w:rPr>
                <w:t xml:space="preserve"> </w:t>
              </w:r>
              <w:hyperlink r:id="rId15" w:history="1">
                <w:r w:rsidRPr="00071276">
                  <w:rPr>
                    <w:rStyle w:val="Hyperlink"/>
                    <w:rFonts w:eastAsiaTheme="majorEastAsia"/>
                  </w:rPr>
                  <w:t>http://www.rmolbabel.com/read/2017/12/20/5094/Fantastis!-Rp328-M-Pajak-IUP-Non-NPWP-Perusahaan-Tambang-Tertunggak-</w:t>
                </w:r>
              </w:hyperlink>
              <w:r>
                <w:t xml:space="preserve"> </w:t>
              </w:r>
              <w:r w:rsidRPr="00A50BE8">
                <w:rPr>
                  <w:sz w:val="24"/>
                  <w:szCs w:val="24"/>
                </w:rPr>
                <w:t xml:space="preserve">Diakses pada </w:t>
              </w:r>
              <w:r>
                <w:rPr>
                  <w:sz w:val="24"/>
                  <w:szCs w:val="24"/>
                </w:rPr>
                <w:t>22</w:t>
              </w:r>
              <w:r w:rsidRPr="00A50BE8">
                <w:rPr>
                  <w:sz w:val="24"/>
                  <w:szCs w:val="24"/>
                </w:rPr>
                <w:t xml:space="preserve"> Mei 2018</w:t>
              </w:r>
              <w:r>
                <w:rPr>
                  <w:sz w:val="24"/>
                  <w:szCs w:val="24"/>
                </w:rPr>
                <w:t>.</w:t>
              </w:r>
              <w:proofErr w:type="gramEnd"/>
            </w:p>
            <w:p w:rsidR="00744E26" w:rsidRDefault="00744E26" w:rsidP="00744E26">
              <w:pPr>
                <w:ind w:left="540" w:hanging="540"/>
                <w:jc w:val="both"/>
                <w:rPr>
                  <w:i/>
                  <w:sz w:val="24"/>
                  <w:szCs w:val="24"/>
                </w:rPr>
              </w:pPr>
              <w:proofErr w:type="gramStart"/>
              <w:r>
                <w:rPr>
                  <w:sz w:val="24"/>
                  <w:szCs w:val="24"/>
                </w:rPr>
                <w:t>Berita.</w:t>
              </w:r>
              <w:proofErr w:type="gramEnd"/>
              <w:r>
                <w:rPr>
                  <w:sz w:val="24"/>
                  <w:szCs w:val="24"/>
                </w:rPr>
                <w:t xml:space="preserve"> 2018. </w:t>
              </w:r>
              <w:r w:rsidRPr="004C262F">
                <w:rPr>
                  <w:i/>
                  <w:sz w:val="24"/>
                  <w:szCs w:val="24"/>
                </w:rPr>
                <w:t>3 Perusahaan Batu Bara Di Inhil Disebut Kempla</w:t>
              </w:r>
              <w:r>
                <w:rPr>
                  <w:i/>
                  <w:sz w:val="24"/>
                  <w:szCs w:val="24"/>
                </w:rPr>
                <w:t>ng Pajak, Negara Rugi Rp5M</w:t>
              </w:r>
            </w:p>
            <w:p w:rsidR="00744E26" w:rsidRDefault="00335B33" w:rsidP="00744E26">
              <w:pPr>
                <w:ind w:left="540" w:hanging="540"/>
                <w:jc w:val="both"/>
                <w:rPr>
                  <w:sz w:val="24"/>
                  <w:szCs w:val="24"/>
                </w:rPr>
              </w:pPr>
              <w:hyperlink r:id="rId16" w:history="1">
                <w:r w:rsidR="00744E26" w:rsidRPr="00071276">
                  <w:rPr>
                    <w:rStyle w:val="Hyperlink"/>
                    <w:rFonts w:eastAsiaTheme="majorEastAsia"/>
                  </w:rPr>
                  <w:t>http://www.riauonline.co.id/riau/kota-pekanbaru/read/2018/05/17/3-perusahaan-batu-bara-di-inhil-disebut-kemplang-pajak-negara-rugi-rp5-miliar</w:t>
                </w:r>
              </w:hyperlink>
              <w:r w:rsidR="00744E26">
                <w:rPr>
                  <w:sz w:val="24"/>
                  <w:szCs w:val="24"/>
                </w:rPr>
                <w:t xml:space="preserve">. </w:t>
              </w:r>
              <w:proofErr w:type="gramStart"/>
              <w:r w:rsidR="00744E26" w:rsidRPr="00A50BE8">
                <w:rPr>
                  <w:sz w:val="24"/>
                  <w:szCs w:val="24"/>
                </w:rPr>
                <w:t xml:space="preserve">Diakses pada </w:t>
              </w:r>
              <w:r w:rsidR="00744E26">
                <w:rPr>
                  <w:sz w:val="24"/>
                  <w:szCs w:val="24"/>
                </w:rPr>
                <w:t>22</w:t>
              </w:r>
              <w:r w:rsidR="00744E26" w:rsidRPr="00A50BE8">
                <w:rPr>
                  <w:sz w:val="24"/>
                  <w:szCs w:val="24"/>
                </w:rPr>
                <w:t xml:space="preserve"> Mei 2018.</w:t>
              </w:r>
              <w:proofErr w:type="gramEnd"/>
            </w:p>
            <w:p w:rsidR="00744E26" w:rsidRPr="004C262F" w:rsidRDefault="00744E26" w:rsidP="00744E26">
              <w:pPr>
                <w:ind w:left="540" w:hanging="540"/>
                <w:jc w:val="both"/>
                <w:rPr>
                  <w:i/>
                  <w:sz w:val="24"/>
                  <w:szCs w:val="24"/>
                </w:rPr>
              </w:pPr>
            </w:p>
            <w:p w:rsidR="00744E26" w:rsidRDefault="00744E26" w:rsidP="00744E26">
              <w:pPr>
                <w:ind w:left="540" w:hanging="540"/>
                <w:jc w:val="both"/>
                <w:rPr>
                  <w:sz w:val="24"/>
                  <w:szCs w:val="24"/>
                </w:rPr>
              </w:pPr>
              <w:r w:rsidRPr="00A50BE8">
                <w:rPr>
                  <w:sz w:val="24"/>
                  <w:szCs w:val="24"/>
                </w:rPr>
                <w:t xml:space="preserve">Ghozali, Imam. </w:t>
              </w:r>
              <w:proofErr w:type="gramStart"/>
              <w:r w:rsidRPr="00A50BE8">
                <w:rPr>
                  <w:sz w:val="24"/>
                  <w:szCs w:val="24"/>
                </w:rPr>
                <w:t xml:space="preserve">(2016). </w:t>
              </w:r>
              <w:r w:rsidRPr="00A50BE8">
                <w:rPr>
                  <w:i/>
                  <w:iCs/>
                  <w:sz w:val="24"/>
                  <w:szCs w:val="24"/>
                </w:rPr>
                <w:t>Aplikasi Analisis Multivariate Dengan Program IBM SPSS 23</w:t>
              </w:r>
              <w:r w:rsidRPr="00A50BE8">
                <w:rPr>
                  <w:sz w:val="24"/>
                  <w:szCs w:val="24"/>
                </w:rPr>
                <w:t>.</w:t>
              </w:r>
              <w:proofErr w:type="gramEnd"/>
              <w:r w:rsidRPr="00A50BE8">
                <w:rPr>
                  <w:sz w:val="24"/>
                  <w:szCs w:val="24"/>
                </w:rPr>
                <w:t xml:space="preserve"> Semarang: Badan Penerbit Universitas Diponegoro</w:t>
              </w:r>
              <w:r>
                <w:rPr>
                  <w:sz w:val="24"/>
                  <w:szCs w:val="24"/>
                </w:rPr>
                <w:t>.</w:t>
              </w:r>
            </w:p>
            <w:p w:rsidR="00744E26" w:rsidRDefault="00744E26" w:rsidP="00744E26">
              <w:pPr>
                <w:ind w:left="540" w:hanging="540"/>
                <w:jc w:val="both"/>
                <w:rPr>
                  <w:sz w:val="24"/>
                  <w:szCs w:val="24"/>
                  <w:shd w:val="clear" w:color="auto" w:fill="FFFFFF"/>
                </w:rPr>
              </w:pPr>
              <w:proofErr w:type="gramStart"/>
              <w:r w:rsidRPr="00A50BE8">
                <w:rPr>
                  <w:sz w:val="24"/>
                  <w:szCs w:val="24"/>
                  <w:shd w:val="clear" w:color="auto" w:fill="FFFFFF"/>
                </w:rPr>
                <w:t>Harjito, Y., &amp; Sari, C. N. (2017).</w:t>
              </w:r>
              <w:proofErr w:type="gramEnd"/>
              <w:r w:rsidRPr="00A50BE8">
                <w:rPr>
                  <w:sz w:val="24"/>
                  <w:szCs w:val="24"/>
                  <w:shd w:val="clear" w:color="auto" w:fill="FFFFFF"/>
                </w:rPr>
                <w:t xml:space="preserve"> </w:t>
              </w:r>
              <w:proofErr w:type="gramStart"/>
              <w:r w:rsidRPr="00A50BE8">
                <w:rPr>
                  <w:i/>
                  <w:sz w:val="24"/>
                  <w:szCs w:val="24"/>
                  <w:shd w:val="clear" w:color="auto" w:fill="FFFFFF"/>
                </w:rPr>
                <w:t>Tax Aggressiveness Seen From Company Characteristics and Corporate Social Responsibility</w:t>
              </w:r>
              <w:r w:rsidRPr="00A50BE8">
                <w:rPr>
                  <w:sz w:val="24"/>
                  <w:szCs w:val="24"/>
                  <w:shd w:val="clear" w:color="auto" w:fill="FFFFFF"/>
                </w:rPr>
                <w:t>.</w:t>
              </w:r>
              <w:proofErr w:type="gramEnd"/>
              <w:r w:rsidRPr="00A50BE8">
                <w:rPr>
                  <w:rStyle w:val="apple-converted-space"/>
                  <w:sz w:val="24"/>
                  <w:szCs w:val="24"/>
                  <w:shd w:val="clear" w:color="auto" w:fill="FFFFFF"/>
                </w:rPr>
                <w:t> </w:t>
              </w:r>
              <w:proofErr w:type="gramStart"/>
              <w:r w:rsidRPr="00A50BE8">
                <w:rPr>
                  <w:i/>
                  <w:iCs/>
                  <w:sz w:val="24"/>
                  <w:szCs w:val="24"/>
                  <w:shd w:val="clear" w:color="auto" w:fill="FFFFFF"/>
                </w:rPr>
                <w:t>Journal of Auditing, Finance, and Forensic Accounting</w:t>
              </w:r>
              <w:r w:rsidRPr="00A50BE8">
                <w:rPr>
                  <w:sz w:val="24"/>
                  <w:szCs w:val="24"/>
                  <w:shd w:val="clear" w:color="auto" w:fill="FFFFFF"/>
                </w:rPr>
                <w:t>,</w:t>
              </w:r>
              <w:r w:rsidRPr="00A50BE8">
                <w:rPr>
                  <w:rStyle w:val="apple-converted-space"/>
                  <w:sz w:val="24"/>
                  <w:szCs w:val="24"/>
                  <w:shd w:val="clear" w:color="auto" w:fill="FFFFFF"/>
                </w:rPr>
                <w:t> </w:t>
              </w:r>
              <w:r w:rsidRPr="00A50BE8">
                <w:rPr>
                  <w:i/>
                  <w:iCs/>
                  <w:sz w:val="24"/>
                  <w:szCs w:val="24"/>
                  <w:shd w:val="clear" w:color="auto" w:fill="FFFFFF"/>
                </w:rPr>
                <w:t>5</w:t>
              </w:r>
              <w:r w:rsidRPr="00A50BE8">
                <w:rPr>
                  <w:sz w:val="24"/>
                  <w:szCs w:val="24"/>
                  <w:shd w:val="clear" w:color="auto" w:fill="FFFFFF"/>
                </w:rPr>
                <w:t>(2), 77-91.</w:t>
              </w:r>
              <w:proofErr w:type="gramEnd"/>
            </w:p>
            <w:p w:rsidR="00744E26" w:rsidRDefault="00744E26" w:rsidP="00744E26">
              <w:pPr>
                <w:ind w:left="540" w:hanging="540"/>
                <w:jc w:val="both"/>
                <w:rPr>
                  <w:i/>
                  <w:sz w:val="24"/>
                  <w:szCs w:val="24"/>
                </w:rPr>
              </w:pPr>
              <w:proofErr w:type="gramStart"/>
              <w:r w:rsidRPr="00A50BE8">
                <w:rPr>
                  <w:i/>
                  <w:sz w:val="24"/>
                  <w:szCs w:val="24"/>
                </w:rPr>
                <w:t>Kasmir.</w:t>
              </w:r>
              <w:proofErr w:type="gramEnd"/>
              <w:r w:rsidRPr="00A50BE8">
                <w:rPr>
                  <w:i/>
                  <w:sz w:val="24"/>
                  <w:szCs w:val="24"/>
                </w:rPr>
                <w:t xml:space="preserve"> 2016. Analisis Laporan Keuangan. J</w:t>
              </w:r>
              <w:r>
                <w:rPr>
                  <w:i/>
                  <w:sz w:val="24"/>
                  <w:szCs w:val="24"/>
                </w:rPr>
                <w:t xml:space="preserve">akarta: Raja Grafindo Persada. </w:t>
              </w:r>
            </w:p>
            <w:p w:rsidR="00744E26" w:rsidRPr="00A50BE8" w:rsidRDefault="00744E26" w:rsidP="00744E26">
              <w:pPr>
                <w:ind w:left="540" w:hanging="540"/>
                <w:jc w:val="both"/>
                <w:rPr>
                  <w:i/>
                  <w:sz w:val="24"/>
                  <w:szCs w:val="24"/>
                </w:rPr>
              </w:pPr>
              <w:r w:rsidRPr="00A50BE8">
                <w:rPr>
                  <w:sz w:val="24"/>
                  <w:szCs w:val="24"/>
                  <w:shd w:val="clear" w:color="auto" w:fill="FFFFFF"/>
                </w:rPr>
                <w:t xml:space="preserve">Khaoula, Aliani. (2013). </w:t>
              </w:r>
              <w:r w:rsidRPr="00A50BE8">
                <w:rPr>
                  <w:i/>
                  <w:sz w:val="24"/>
                  <w:szCs w:val="24"/>
                </w:rPr>
                <w:t xml:space="preserve">Does Corporate Governance affect tax planning? </w:t>
              </w:r>
              <w:proofErr w:type="gramStart"/>
              <w:r w:rsidRPr="00A50BE8">
                <w:rPr>
                  <w:i/>
                  <w:sz w:val="24"/>
                  <w:szCs w:val="24"/>
                </w:rPr>
                <w:t>Evidence from American companies.</w:t>
              </w:r>
              <w:proofErr w:type="gramEnd"/>
              <w:r w:rsidRPr="00A50BE8">
                <w:rPr>
                  <w:i/>
                  <w:sz w:val="24"/>
                  <w:szCs w:val="24"/>
                </w:rPr>
                <w:t xml:space="preserve"> International Journal </w:t>
              </w:r>
              <w:proofErr w:type="gramStart"/>
              <w:r w:rsidRPr="00A50BE8">
                <w:rPr>
                  <w:i/>
                  <w:sz w:val="24"/>
                  <w:szCs w:val="24"/>
                </w:rPr>
                <w:t>Of</w:t>
              </w:r>
              <w:proofErr w:type="gramEnd"/>
              <w:r w:rsidRPr="00A50BE8">
                <w:rPr>
                  <w:i/>
                  <w:sz w:val="24"/>
                  <w:szCs w:val="24"/>
                </w:rPr>
                <w:t xml:space="preserve"> Advanced Research.</w:t>
              </w:r>
            </w:p>
            <w:p w:rsidR="00744E26" w:rsidRPr="00A50BE8" w:rsidRDefault="00744E26" w:rsidP="00744E26">
              <w:pPr>
                <w:ind w:left="540" w:hanging="540"/>
                <w:jc w:val="both"/>
                <w:rPr>
                  <w:sz w:val="24"/>
                  <w:szCs w:val="24"/>
                  <w:shd w:val="clear" w:color="auto" w:fill="FFFFFF"/>
                </w:rPr>
              </w:pPr>
              <w:proofErr w:type="gramStart"/>
              <w:r w:rsidRPr="00A50BE8">
                <w:rPr>
                  <w:sz w:val="24"/>
                  <w:szCs w:val="24"/>
                  <w:shd w:val="clear" w:color="auto" w:fill="FFFFFF"/>
                </w:rPr>
                <w:t>Kuriah, H. L., &amp; Asyik, N. F. (2016).</w:t>
              </w:r>
              <w:proofErr w:type="gramEnd"/>
              <w:r w:rsidRPr="00A50BE8">
                <w:rPr>
                  <w:sz w:val="24"/>
                  <w:szCs w:val="24"/>
                  <w:shd w:val="clear" w:color="auto" w:fill="FFFFFF"/>
                </w:rPr>
                <w:t xml:space="preserve"> </w:t>
              </w:r>
              <w:proofErr w:type="gramStart"/>
              <w:r w:rsidRPr="00A50BE8">
                <w:rPr>
                  <w:i/>
                  <w:sz w:val="24"/>
                  <w:szCs w:val="24"/>
                  <w:shd w:val="clear" w:color="auto" w:fill="FFFFFF"/>
                </w:rPr>
                <w:t>Pengaruh Karakteristik Perusahaan Dan Corporate Social Responsibility Terhadap Agresivitas Pajak</w:t>
              </w:r>
              <w:r w:rsidRPr="00A50BE8">
                <w:rPr>
                  <w:sz w:val="24"/>
                  <w:szCs w:val="24"/>
                  <w:shd w:val="clear" w:color="auto" w:fill="FFFFFF"/>
                </w:rPr>
                <w:t>.</w:t>
              </w:r>
              <w:proofErr w:type="gramEnd"/>
              <w:r w:rsidRPr="00A50BE8">
                <w:rPr>
                  <w:rStyle w:val="apple-converted-space"/>
                  <w:sz w:val="24"/>
                  <w:szCs w:val="24"/>
                  <w:shd w:val="clear" w:color="auto" w:fill="FFFFFF"/>
                </w:rPr>
                <w:t> </w:t>
              </w:r>
              <w:r w:rsidRPr="00A50BE8">
                <w:rPr>
                  <w:i/>
                  <w:iCs/>
                  <w:sz w:val="24"/>
                  <w:szCs w:val="24"/>
                  <w:shd w:val="clear" w:color="auto" w:fill="FFFFFF"/>
                </w:rPr>
                <w:t>Jurnal Ilmu dan Riset Akuntansi</w:t>
              </w:r>
              <w:r w:rsidRPr="00A50BE8">
                <w:rPr>
                  <w:sz w:val="24"/>
                  <w:szCs w:val="24"/>
                  <w:shd w:val="clear" w:color="auto" w:fill="FFFFFF"/>
                </w:rPr>
                <w:t>,</w:t>
              </w:r>
              <w:r w:rsidRPr="00A50BE8">
                <w:rPr>
                  <w:rStyle w:val="apple-converted-space"/>
                  <w:sz w:val="24"/>
                  <w:szCs w:val="24"/>
                  <w:shd w:val="clear" w:color="auto" w:fill="FFFFFF"/>
                </w:rPr>
                <w:t> </w:t>
              </w:r>
              <w:r w:rsidRPr="00A50BE8">
                <w:rPr>
                  <w:i/>
                  <w:iCs/>
                  <w:sz w:val="24"/>
                  <w:szCs w:val="24"/>
                  <w:shd w:val="clear" w:color="auto" w:fill="FFFFFF"/>
                </w:rPr>
                <w:t>5</w:t>
              </w:r>
              <w:r w:rsidRPr="00A50BE8">
                <w:rPr>
                  <w:sz w:val="24"/>
                  <w:szCs w:val="24"/>
                  <w:shd w:val="clear" w:color="auto" w:fill="FFFFFF"/>
                </w:rPr>
                <w:t>(3).</w:t>
              </w:r>
            </w:p>
            <w:p w:rsidR="00744E26" w:rsidRPr="00A50BE8" w:rsidRDefault="00744E26" w:rsidP="00744E26">
              <w:pPr>
                <w:ind w:left="540" w:hanging="540"/>
                <w:jc w:val="both"/>
                <w:rPr>
                  <w:sz w:val="24"/>
                  <w:szCs w:val="24"/>
                  <w:shd w:val="clear" w:color="auto" w:fill="FFFFFF"/>
                </w:rPr>
              </w:pPr>
              <w:proofErr w:type="gramStart"/>
              <w:r w:rsidRPr="00A50BE8">
                <w:rPr>
                  <w:sz w:val="24"/>
                  <w:szCs w:val="24"/>
                  <w:shd w:val="clear" w:color="auto" w:fill="FFFFFF"/>
                </w:rPr>
                <w:t>Kusumawati, W. T., &amp; Hardiningsih, P. (2016).</w:t>
              </w:r>
              <w:proofErr w:type="gramEnd"/>
              <w:r w:rsidRPr="00A50BE8">
                <w:rPr>
                  <w:sz w:val="24"/>
                  <w:szCs w:val="24"/>
                  <w:shd w:val="clear" w:color="auto" w:fill="FFFFFF"/>
                </w:rPr>
                <w:t xml:space="preserve"> </w:t>
              </w:r>
              <w:proofErr w:type="gramStart"/>
              <w:r w:rsidRPr="00A50BE8">
                <w:rPr>
                  <w:i/>
                  <w:sz w:val="24"/>
                  <w:szCs w:val="24"/>
                  <w:shd w:val="clear" w:color="auto" w:fill="FFFFFF"/>
                </w:rPr>
                <w:t>The Effect of Institutional Ownership and Corporate Social Responsibility to the Tax Aggressiveness</w:t>
              </w:r>
              <w:r w:rsidRPr="00A50BE8">
                <w:rPr>
                  <w:sz w:val="24"/>
                  <w:szCs w:val="24"/>
                  <w:shd w:val="clear" w:color="auto" w:fill="FFFFFF"/>
                </w:rPr>
                <w:t>.</w:t>
              </w:r>
              <w:proofErr w:type="gramEnd"/>
              <w:r w:rsidRPr="00A50BE8">
                <w:rPr>
                  <w:rStyle w:val="apple-converted-space"/>
                  <w:sz w:val="24"/>
                  <w:szCs w:val="24"/>
                  <w:shd w:val="clear" w:color="auto" w:fill="FFFFFF"/>
                </w:rPr>
                <w:t> </w:t>
              </w:r>
              <w:proofErr w:type="gramStart"/>
              <w:r w:rsidRPr="00A50BE8">
                <w:rPr>
                  <w:i/>
                  <w:iCs/>
                  <w:sz w:val="24"/>
                  <w:szCs w:val="24"/>
                  <w:shd w:val="clear" w:color="auto" w:fill="FFFFFF"/>
                </w:rPr>
                <w:t>Proceeding ICOBAME</w:t>
              </w:r>
              <w:r w:rsidRPr="00A50BE8">
                <w:rPr>
                  <w:sz w:val="24"/>
                  <w:szCs w:val="24"/>
                  <w:shd w:val="clear" w:color="auto" w:fill="FFFFFF"/>
                </w:rPr>
                <w:t>.</w:t>
              </w:r>
              <w:proofErr w:type="gramEnd"/>
            </w:p>
            <w:p w:rsidR="00744E26" w:rsidRDefault="00744E26" w:rsidP="00744E26">
              <w:pPr>
                <w:ind w:left="540" w:hanging="540"/>
                <w:jc w:val="both"/>
                <w:rPr>
                  <w:sz w:val="24"/>
                  <w:szCs w:val="24"/>
                  <w:shd w:val="clear" w:color="auto" w:fill="FFFFFF"/>
                </w:rPr>
              </w:pPr>
              <w:r w:rsidRPr="00A50BE8">
                <w:rPr>
                  <w:sz w:val="24"/>
                  <w:szCs w:val="24"/>
                  <w:shd w:val="clear" w:color="auto" w:fill="FFFFFF"/>
                </w:rPr>
                <w:t xml:space="preserve">Mgbame, C. O., Chijoke-Mgbame, M. A., Yekini, S., &amp; Kemi, Y. C. (2017). </w:t>
              </w:r>
              <w:proofErr w:type="gramStart"/>
              <w:r w:rsidRPr="00A50BE8">
                <w:rPr>
                  <w:i/>
                  <w:sz w:val="24"/>
                  <w:szCs w:val="24"/>
                  <w:shd w:val="clear" w:color="auto" w:fill="FFFFFF"/>
                </w:rPr>
                <w:t>Corporate social responsibility performance and tax aggressiveness</w:t>
              </w:r>
              <w:r w:rsidRPr="00A50BE8">
                <w:rPr>
                  <w:sz w:val="24"/>
                  <w:szCs w:val="24"/>
                  <w:shd w:val="clear" w:color="auto" w:fill="FFFFFF"/>
                </w:rPr>
                <w:t>.</w:t>
              </w:r>
              <w:proofErr w:type="gramEnd"/>
              <w:r w:rsidRPr="00A50BE8">
                <w:rPr>
                  <w:rStyle w:val="apple-converted-space"/>
                  <w:sz w:val="24"/>
                  <w:szCs w:val="24"/>
                  <w:shd w:val="clear" w:color="auto" w:fill="FFFFFF"/>
                </w:rPr>
                <w:t> </w:t>
              </w:r>
              <w:r w:rsidRPr="00A50BE8">
                <w:rPr>
                  <w:i/>
                  <w:iCs/>
                  <w:sz w:val="24"/>
                  <w:szCs w:val="24"/>
                  <w:shd w:val="clear" w:color="auto" w:fill="FFFFFF"/>
                </w:rPr>
                <w:t>Journal of Accounting and Taxation</w:t>
              </w:r>
              <w:r w:rsidRPr="00A50BE8">
                <w:rPr>
                  <w:sz w:val="24"/>
                  <w:szCs w:val="24"/>
                  <w:shd w:val="clear" w:color="auto" w:fill="FFFFFF"/>
                </w:rPr>
                <w:t>,</w:t>
              </w:r>
              <w:r w:rsidRPr="00A50BE8">
                <w:rPr>
                  <w:rStyle w:val="apple-converted-space"/>
                  <w:sz w:val="24"/>
                  <w:szCs w:val="24"/>
                  <w:shd w:val="clear" w:color="auto" w:fill="FFFFFF"/>
                </w:rPr>
                <w:t> </w:t>
              </w:r>
              <w:r w:rsidRPr="00A50BE8">
                <w:rPr>
                  <w:i/>
                  <w:iCs/>
                  <w:sz w:val="24"/>
                  <w:szCs w:val="24"/>
                  <w:shd w:val="clear" w:color="auto" w:fill="FFFFFF"/>
                </w:rPr>
                <w:t>9</w:t>
              </w:r>
              <w:r w:rsidRPr="00A50BE8">
                <w:rPr>
                  <w:sz w:val="24"/>
                  <w:szCs w:val="24"/>
                  <w:shd w:val="clear" w:color="auto" w:fill="FFFFFF"/>
                </w:rPr>
                <w:t>(8), 101-108.</w:t>
              </w:r>
            </w:p>
            <w:p w:rsidR="00744E26" w:rsidRDefault="00744E26" w:rsidP="00744E26">
              <w:pPr>
                <w:ind w:left="540" w:hanging="540"/>
                <w:jc w:val="both"/>
                <w:rPr>
                  <w:sz w:val="24"/>
                  <w:szCs w:val="24"/>
                  <w:shd w:val="clear" w:color="auto" w:fill="FFFFFF"/>
                </w:rPr>
              </w:pPr>
              <w:proofErr w:type="gramStart"/>
              <w:r w:rsidRPr="00A50BE8">
                <w:rPr>
                  <w:sz w:val="24"/>
                  <w:szCs w:val="24"/>
                  <w:shd w:val="clear" w:color="auto" w:fill="FFFFFF"/>
                </w:rPr>
                <w:t>Nugraha, N. B., &amp; Meiranto, W. (2015).</w:t>
              </w:r>
              <w:proofErr w:type="gramEnd"/>
              <w:r w:rsidRPr="00A50BE8">
                <w:rPr>
                  <w:rStyle w:val="apple-converted-space"/>
                  <w:sz w:val="24"/>
                  <w:szCs w:val="24"/>
                  <w:shd w:val="clear" w:color="auto" w:fill="FFFFFF"/>
                </w:rPr>
                <w:t> </w:t>
              </w:r>
              <w:proofErr w:type="gramStart"/>
              <w:r>
                <w:rPr>
                  <w:i/>
                  <w:iCs/>
                  <w:sz w:val="24"/>
                  <w:szCs w:val="24"/>
                  <w:shd w:val="clear" w:color="auto" w:fill="FFFFFF"/>
                </w:rPr>
                <w:t xml:space="preserve">Pengaruh Corporate Social </w:t>
              </w:r>
              <w:r w:rsidRPr="00A50BE8">
                <w:rPr>
                  <w:i/>
                  <w:iCs/>
                  <w:sz w:val="24"/>
                  <w:szCs w:val="24"/>
                  <w:shd w:val="clear" w:color="auto" w:fill="FFFFFF"/>
                </w:rPr>
                <w:t>Responsibility,</w:t>
              </w:r>
              <w:r>
                <w:rPr>
                  <w:i/>
                  <w:iCs/>
                  <w:sz w:val="24"/>
                  <w:szCs w:val="24"/>
                  <w:shd w:val="clear" w:color="auto" w:fill="FFFFFF"/>
                </w:rPr>
                <w:t xml:space="preserve"> </w:t>
              </w:r>
              <w:r w:rsidRPr="00A50BE8">
                <w:rPr>
                  <w:i/>
                  <w:iCs/>
                  <w:sz w:val="24"/>
                  <w:szCs w:val="24"/>
                  <w:shd w:val="clear" w:color="auto" w:fill="FFFFFF"/>
                </w:rPr>
                <w:t>Ukuran Perusahaan, Profitabilitas, Leverage Dan Capital Intensity Terhadap Agresivitas Pajak (Studi Empiris pada Perusahaan Non-Keuangan yang Terdaftar di BEI Selama Periode 2012-2013)</w:t>
              </w:r>
              <w:r w:rsidRPr="00A50BE8">
                <w:rPr>
                  <w:rStyle w:val="apple-converted-space"/>
                  <w:sz w:val="24"/>
                  <w:szCs w:val="24"/>
                  <w:shd w:val="clear" w:color="auto" w:fill="FFFFFF"/>
                </w:rPr>
                <w:t> </w:t>
              </w:r>
              <w:r w:rsidRPr="00A50BE8">
                <w:rPr>
                  <w:sz w:val="24"/>
                  <w:szCs w:val="24"/>
                  <w:shd w:val="clear" w:color="auto" w:fill="FFFFFF"/>
                </w:rPr>
                <w:t>(Doctoral dissertation, Fakultas Ekonomika dan Bisnis).</w:t>
              </w:r>
              <w:proofErr w:type="gramEnd"/>
            </w:p>
            <w:p w:rsidR="00744E26" w:rsidRPr="00A50BE8" w:rsidRDefault="00744E26" w:rsidP="00744E26">
              <w:pPr>
                <w:ind w:left="540" w:hanging="540"/>
                <w:jc w:val="both"/>
                <w:rPr>
                  <w:sz w:val="24"/>
                  <w:szCs w:val="24"/>
                  <w:shd w:val="clear" w:color="auto" w:fill="FFFFFF"/>
                </w:rPr>
              </w:pPr>
              <w:proofErr w:type="gramStart"/>
              <w:r w:rsidRPr="00A50BE8">
                <w:rPr>
                  <w:sz w:val="24"/>
                  <w:szCs w:val="24"/>
                  <w:shd w:val="clear" w:color="auto" w:fill="FFFFFF"/>
                </w:rPr>
                <w:t>Sari, D., &amp; Tjen, C. (2017).</w:t>
              </w:r>
              <w:proofErr w:type="gramEnd"/>
              <w:r w:rsidRPr="00A50BE8">
                <w:rPr>
                  <w:sz w:val="24"/>
                  <w:szCs w:val="24"/>
                  <w:shd w:val="clear" w:color="auto" w:fill="FFFFFF"/>
                </w:rPr>
                <w:t xml:space="preserve"> </w:t>
              </w:r>
              <w:proofErr w:type="gramStart"/>
              <w:r w:rsidRPr="00A50BE8">
                <w:rPr>
                  <w:i/>
                  <w:sz w:val="24"/>
                  <w:szCs w:val="24"/>
                  <w:shd w:val="clear" w:color="auto" w:fill="FFFFFF"/>
                </w:rPr>
                <w:t>Corporate Social Responsibility Disclosure, Environmental Performance, and Tax Aggressiveness</w:t>
              </w:r>
              <w:r w:rsidRPr="00A50BE8">
                <w:rPr>
                  <w:sz w:val="24"/>
                  <w:szCs w:val="24"/>
                  <w:shd w:val="clear" w:color="auto" w:fill="FFFFFF"/>
                </w:rPr>
                <w:t>.</w:t>
              </w:r>
              <w:proofErr w:type="gramEnd"/>
              <w:r w:rsidRPr="00A50BE8">
                <w:rPr>
                  <w:rStyle w:val="apple-converted-space"/>
                  <w:sz w:val="24"/>
                  <w:szCs w:val="24"/>
                  <w:shd w:val="clear" w:color="auto" w:fill="FFFFFF"/>
                </w:rPr>
                <w:t> </w:t>
              </w:r>
              <w:proofErr w:type="gramStart"/>
              <w:r w:rsidRPr="00A50BE8">
                <w:rPr>
                  <w:i/>
                  <w:iCs/>
                  <w:sz w:val="24"/>
                  <w:szCs w:val="24"/>
                  <w:shd w:val="clear" w:color="auto" w:fill="FFFFFF"/>
                </w:rPr>
                <w:t>International Research Journal of Business Studies</w:t>
              </w:r>
              <w:r w:rsidRPr="00A50BE8">
                <w:rPr>
                  <w:sz w:val="24"/>
                  <w:szCs w:val="24"/>
                  <w:shd w:val="clear" w:color="auto" w:fill="FFFFFF"/>
                </w:rPr>
                <w:t>,</w:t>
              </w:r>
              <w:r w:rsidRPr="00A50BE8">
                <w:rPr>
                  <w:rStyle w:val="apple-converted-space"/>
                  <w:sz w:val="24"/>
                  <w:szCs w:val="24"/>
                  <w:shd w:val="clear" w:color="auto" w:fill="FFFFFF"/>
                </w:rPr>
                <w:t> </w:t>
              </w:r>
              <w:r w:rsidRPr="00A50BE8">
                <w:rPr>
                  <w:i/>
                  <w:iCs/>
                  <w:sz w:val="24"/>
                  <w:szCs w:val="24"/>
                  <w:shd w:val="clear" w:color="auto" w:fill="FFFFFF"/>
                </w:rPr>
                <w:t>9</w:t>
              </w:r>
              <w:r w:rsidRPr="00A50BE8">
                <w:rPr>
                  <w:sz w:val="24"/>
                  <w:szCs w:val="24"/>
                  <w:shd w:val="clear" w:color="auto" w:fill="FFFFFF"/>
                </w:rPr>
                <w:t>(2).</w:t>
              </w:r>
              <w:proofErr w:type="gramEnd"/>
            </w:p>
            <w:p w:rsidR="00744E26" w:rsidRDefault="00744E26" w:rsidP="00744E26">
              <w:pPr>
                <w:ind w:left="540" w:hanging="540"/>
                <w:jc w:val="both"/>
                <w:rPr>
                  <w:sz w:val="24"/>
                  <w:szCs w:val="24"/>
                </w:rPr>
              </w:pPr>
              <w:proofErr w:type="gramStart"/>
              <w:r w:rsidRPr="00CB0CE5">
                <w:rPr>
                  <w:sz w:val="24"/>
                  <w:szCs w:val="24"/>
                </w:rPr>
                <w:t>Sugiyono</w:t>
              </w:r>
              <w:r w:rsidRPr="00A50BE8">
                <w:rPr>
                  <w:i/>
                  <w:sz w:val="24"/>
                  <w:szCs w:val="24"/>
                </w:rPr>
                <w:t>.</w:t>
              </w:r>
              <w:proofErr w:type="gramEnd"/>
              <w:r w:rsidRPr="00A50BE8">
                <w:rPr>
                  <w:i/>
                  <w:sz w:val="24"/>
                  <w:szCs w:val="24"/>
                </w:rPr>
                <w:t xml:space="preserve"> (2017). Metode Penelitian Kuantitatif,</w:t>
              </w:r>
              <w:r>
                <w:rPr>
                  <w:i/>
                  <w:sz w:val="24"/>
                  <w:szCs w:val="24"/>
                </w:rPr>
                <w:t xml:space="preserve"> Kualitatif, dan R&amp;D. </w:t>
              </w:r>
              <w:r w:rsidRPr="00CB0CE5">
                <w:rPr>
                  <w:sz w:val="24"/>
                  <w:szCs w:val="24"/>
                </w:rPr>
                <w:t xml:space="preserve">Bandung: </w:t>
              </w:r>
              <w:r>
                <w:rPr>
                  <w:sz w:val="24"/>
                  <w:szCs w:val="24"/>
                </w:rPr>
                <w:t>Alfabeta.</w:t>
              </w:r>
            </w:p>
            <w:p w:rsidR="00744E26" w:rsidRDefault="00744E26" w:rsidP="00744E26">
              <w:pPr>
                <w:ind w:left="540" w:hanging="540"/>
                <w:jc w:val="both"/>
                <w:rPr>
                  <w:sz w:val="24"/>
                  <w:szCs w:val="24"/>
                  <w:shd w:val="clear" w:color="auto" w:fill="FFFFFF"/>
                </w:rPr>
              </w:pPr>
              <w:r w:rsidRPr="00A50BE8">
                <w:rPr>
                  <w:sz w:val="24"/>
                  <w:szCs w:val="24"/>
                  <w:shd w:val="clear" w:color="auto" w:fill="FFFFFF"/>
                </w:rPr>
                <w:t xml:space="preserve">Sukmawati, F., &amp; Rebecca, C. </w:t>
              </w:r>
              <w:r w:rsidRPr="00A50BE8">
                <w:rPr>
                  <w:i/>
                  <w:sz w:val="24"/>
                  <w:szCs w:val="24"/>
                  <w:shd w:val="clear" w:color="auto" w:fill="FFFFFF"/>
                </w:rPr>
                <w:t>Pengaruh Likuiditas Dan Leverage Terhadap Agresivitas Pajak Perusahaan Pada Perusahaan Industri Barang Konsumsi Di Bursa Efek Indonesia Periode 2011-2014</w:t>
              </w:r>
              <w:r w:rsidRPr="00A50BE8">
                <w:rPr>
                  <w:sz w:val="24"/>
                  <w:szCs w:val="24"/>
                  <w:shd w:val="clear" w:color="auto" w:fill="FFFFFF"/>
                </w:rPr>
                <w:t>.</w:t>
              </w:r>
            </w:p>
            <w:p w:rsidR="00744E26" w:rsidRPr="006F6B83" w:rsidRDefault="00744E26" w:rsidP="00744E26">
              <w:pPr>
                <w:ind w:left="540" w:hanging="540"/>
                <w:jc w:val="both"/>
                <w:rPr>
                  <w:i/>
                  <w:sz w:val="24"/>
                  <w:szCs w:val="24"/>
                  <w:shd w:val="clear" w:color="auto" w:fill="FFFFFF"/>
                </w:rPr>
              </w:pPr>
              <w:proofErr w:type="gramStart"/>
              <w:r>
                <w:rPr>
                  <w:sz w:val="24"/>
                  <w:szCs w:val="24"/>
                  <w:shd w:val="clear" w:color="auto" w:fill="FFFFFF"/>
                </w:rPr>
                <w:t>Suryani &amp; Hendryadi.</w:t>
              </w:r>
              <w:proofErr w:type="gramEnd"/>
              <w:r>
                <w:rPr>
                  <w:sz w:val="24"/>
                  <w:szCs w:val="24"/>
                  <w:shd w:val="clear" w:color="auto" w:fill="FFFFFF"/>
                </w:rPr>
                <w:t xml:space="preserve"> 2015. </w:t>
              </w:r>
              <w:r>
                <w:rPr>
                  <w:i/>
                  <w:sz w:val="24"/>
                  <w:szCs w:val="24"/>
                  <w:shd w:val="clear" w:color="auto" w:fill="FFFFFF"/>
                </w:rPr>
                <w:t xml:space="preserve">Metode Riset </w:t>
              </w:r>
              <w:proofErr w:type="gramStart"/>
              <w:r>
                <w:rPr>
                  <w:i/>
                  <w:sz w:val="24"/>
                  <w:szCs w:val="24"/>
                  <w:shd w:val="clear" w:color="auto" w:fill="FFFFFF"/>
                </w:rPr>
                <w:t>Kuantitatif :</w:t>
              </w:r>
              <w:proofErr w:type="gramEnd"/>
              <w:r>
                <w:rPr>
                  <w:i/>
                  <w:sz w:val="24"/>
                  <w:szCs w:val="24"/>
                  <w:shd w:val="clear" w:color="auto" w:fill="FFFFFF"/>
                </w:rPr>
                <w:t xml:space="preserve"> Teori dan Aplikasi pada Penelitian Bidang Manajemen dan Ekonomi Islam. </w:t>
              </w:r>
              <w:r w:rsidRPr="006F6B83">
                <w:rPr>
                  <w:sz w:val="24"/>
                  <w:szCs w:val="24"/>
                  <w:shd w:val="clear" w:color="auto" w:fill="FFFFFF"/>
                </w:rPr>
                <w:t>Jakarta</w:t>
              </w:r>
              <w:r>
                <w:rPr>
                  <w:sz w:val="24"/>
                  <w:szCs w:val="24"/>
                  <w:shd w:val="clear" w:color="auto" w:fill="FFFFFF"/>
                </w:rPr>
                <w:t>. Prenadamedia Group.</w:t>
              </w:r>
            </w:p>
            <w:p w:rsidR="00744E26" w:rsidRDefault="00744E26" w:rsidP="00744E26">
              <w:pPr>
                <w:ind w:left="540" w:hanging="540"/>
                <w:jc w:val="both"/>
                <w:rPr>
                  <w:sz w:val="24"/>
                  <w:szCs w:val="24"/>
                </w:rPr>
              </w:pPr>
              <w:r w:rsidRPr="00A50BE8">
                <w:rPr>
                  <w:sz w:val="24"/>
                  <w:szCs w:val="24"/>
                </w:rPr>
                <w:t>UU Nomor 36 Tahun 2008</w:t>
              </w:r>
              <w:r>
                <w:rPr>
                  <w:sz w:val="24"/>
                  <w:szCs w:val="24"/>
                </w:rPr>
                <w:t xml:space="preserve"> tentang Pajak Penghasilan</w:t>
              </w:r>
            </w:p>
            <w:p w:rsidR="00744E26" w:rsidRDefault="00744E26" w:rsidP="00744E26">
              <w:pPr>
                <w:ind w:left="540" w:hanging="540"/>
                <w:jc w:val="both"/>
                <w:rPr>
                  <w:sz w:val="24"/>
                  <w:szCs w:val="24"/>
                </w:rPr>
              </w:pPr>
              <w:r w:rsidRPr="00A50BE8">
                <w:rPr>
                  <w:sz w:val="24"/>
                  <w:szCs w:val="24"/>
                </w:rPr>
                <w:t>UU No.40 tahun 2007 tentang Perseroan Terbatas pasal 74</w:t>
              </w:r>
            </w:p>
            <w:p w:rsidR="00744E26" w:rsidRPr="008B44D3" w:rsidRDefault="00744E26" w:rsidP="00744E26">
              <w:pPr>
                <w:pStyle w:val="Bibliography"/>
                <w:ind w:left="720" w:hanging="720"/>
                <w:rPr>
                  <w:lang w:val="fi-FI"/>
                </w:rPr>
              </w:pPr>
              <w:r w:rsidRPr="00A50BE8">
                <w:rPr>
                  <w:rFonts w:ascii="Times New Roman" w:hAnsi="Times New Roman" w:cs="Times New Roman"/>
                  <w:sz w:val="24"/>
                  <w:szCs w:val="24"/>
                  <w:shd w:val="clear" w:color="auto" w:fill="FFFFFF"/>
                </w:rPr>
                <w:t xml:space="preserve">Yogiswari, N. K. K &amp; Ramantha, I. W. (2017). </w:t>
              </w:r>
              <w:proofErr w:type="gramStart"/>
              <w:r w:rsidRPr="00A50BE8">
                <w:rPr>
                  <w:rFonts w:ascii="Times New Roman" w:hAnsi="Times New Roman" w:cs="Times New Roman"/>
                  <w:i/>
                  <w:sz w:val="24"/>
                  <w:szCs w:val="24"/>
                  <w:shd w:val="clear" w:color="auto" w:fill="FFFFFF"/>
                </w:rPr>
                <w:t>Pengaruh Likuiditas Dan Corporate Social Responsibility Pada Agresivitas Pajak Dengan Corporate Governace Sebagai Variabel Pemoderasi</w:t>
              </w:r>
              <w:r w:rsidRPr="00A50BE8">
                <w:rPr>
                  <w:rFonts w:ascii="Times New Roman" w:hAnsi="Times New Roman" w:cs="Times New Roman"/>
                  <w:sz w:val="24"/>
                  <w:szCs w:val="24"/>
                  <w:shd w:val="clear" w:color="auto" w:fill="FFFFFF"/>
                </w:rPr>
                <w:t>.</w:t>
              </w:r>
              <w:proofErr w:type="gramEnd"/>
              <w:r w:rsidRPr="00A50BE8">
                <w:rPr>
                  <w:rFonts w:ascii="Times New Roman" w:hAnsi="Times New Roman" w:cs="Times New Roman"/>
                  <w:sz w:val="24"/>
                  <w:szCs w:val="24"/>
                  <w:shd w:val="clear" w:color="auto" w:fill="FFFFFF"/>
                </w:rPr>
                <w:t xml:space="preserve"> E-Jurnal Akuntansi Universitas Udayana</w:t>
              </w:r>
            </w:p>
          </w:sdtContent>
        </w:sdt>
      </w:sdtContent>
    </w:sdt>
    <w:p w:rsidR="00744E26" w:rsidRPr="00744E26" w:rsidRDefault="00744E26">
      <w:pPr>
        <w:spacing w:before="4" w:line="160" w:lineRule="exact"/>
        <w:rPr>
          <w:szCs w:val="17"/>
          <w:lang w:val="id-ID"/>
        </w:rPr>
      </w:pPr>
    </w:p>
    <w:sectPr w:rsidR="00744E26" w:rsidRPr="00744E26" w:rsidSect="00F05E02">
      <w:headerReference w:type="default" r:id="rId17"/>
      <w:type w:val="continuous"/>
      <w:pgSz w:w="11940" w:h="16860"/>
      <w:pgMar w:top="1412" w:right="1308" w:bottom="993"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1D" w:rsidRDefault="0044691D">
      <w:r>
        <w:separator/>
      </w:r>
    </w:p>
  </w:endnote>
  <w:endnote w:type="continuationSeparator" w:id="0">
    <w:p w:rsidR="0044691D" w:rsidRDefault="00446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1D" w:rsidRDefault="0044691D">
      <w:r>
        <w:separator/>
      </w:r>
    </w:p>
  </w:footnote>
  <w:footnote w:type="continuationSeparator" w:id="0">
    <w:p w:rsidR="0044691D" w:rsidRDefault="00446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02" w:rsidRDefault="00F05E02">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C2B78"/>
    <w:multiLevelType w:val="hybridMultilevel"/>
    <w:tmpl w:val="864A2FD6"/>
    <w:lvl w:ilvl="0" w:tplc="8B9C65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7613BD"/>
    <w:multiLevelType w:val="hybridMultilevel"/>
    <w:tmpl w:val="BCE0642C"/>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
    <w:nsid w:val="1DFC1159"/>
    <w:multiLevelType w:val="hybridMultilevel"/>
    <w:tmpl w:val="4BE62CAC"/>
    <w:lvl w:ilvl="0" w:tplc="2152B9EA">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6F144F"/>
    <w:multiLevelType w:val="hybridMultilevel"/>
    <w:tmpl w:val="7B2EF22C"/>
    <w:lvl w:ilvl="0" w:tplc="8B9C65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39458F"/>
    <w:multiLevelType w:val="hybridMultilevel"/>
    <w:tmpl w:val="8C7287B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298748B"/>
    <w:multiLevelType w:val="hybridMultilevel"/>
    <w:tmpl w:val="C1989296"/>
    <w:lvl w:ilvl="0" w:tplc="04210011">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3A43B8C"/>
    <w:multiLevelType w:val="hybridMultilevel"/>
    <w:tmpl w:val="779CF81A"/>
    <w:lvl w:ilvl="0" w:tplc="4A90EDCE">
      <w:numFmt w:val="bullet"/>
      <w:lvlText w:val="-"/>
      <w:lvlJc w:val="left"/>
      <w:pPr>
        <w:ind w:left="577" w:hanging="360"/>
      </w:pPr>
      <w:rPr>
        <w:rFonts w:ascii="Times New Roman" w:eastAsia="Times New Roman" w:hAnsi="Times New Roman" w:cs="Times New Roman"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7">
    <w:nsid w:val="50C84269"/>
    <w:multiLevelType w:val="hybridMultilevel"/>
    <w:tmpl w:val="E6B69A44"/>
    <w:lvl w:ilvl="0" w:tplc="4A90EDCE">
      <w:numFmt w:val="bullet"/>
      <w:lvlText w:val="-"/>
      <w:lvlJc w:val="left"/>
      <w:pPr>
        <w:ind w:left="794" w:hanging="360"/>
      </w:pPr>
      <w:rPr>
        <w:rFonts w:ascii="Times New Roman" w:eastAsia="Times New Roman" w:hAnsi="Times New Roman" w:cs="Times New Roman"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8">
    <w:nsid w:val="53442C74"/>
    <w:multiLevelType w:val="hybridMultilevel"/>
    <w:tmpl w:val="590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604ADD"/>
    <w:multiLevelType w:val="hybridMultilevel"/>
    <w:tmpl w:val="87D67E3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DE54D6"/>
    <w:multiLevelType w:val="hybridMultilevel"/>
    <w:tmpl w:val="05560E8A"/>
    <w:lvl w:ilvl="0" w:tplc="ED5C65E8">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396878"/>
    <w:multiLevelType w:val="hybridMultilevel"/>
    <w:tmpl w:val="28641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286DA0"/>
    <w:multiLevelType w:val="multilevel"/>
    <w:tmpl w:val="D62A9C4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2"/>
  </w:num>
  <w:num w:numId="2">
    <w:abstractNumId w:val="1"/>
  </w:num>
  <w:num w:numId="3">
    <w:abstractNumId w:val="6"/>
  </w:num>
  <w:num w:numId="4">
    <w:abstractNumId w:val="7"/>
  </w:num>
  <w:num w:numId="5">
    <w:abstractNumId w:val="8"/>
  </w:num>
  <w:num w:numId="6">
    <w:abstractNumId w:val="11"/>
  </w:num>
  <w:num w:numId="7">
    <w:abstractNumId w:val="4"/>
  </w:num>
  <w:num w:numId="8">
    <w:abstractNumId w:val="3"/>
  </w:num>
  <w:num w:numId="9">
    <w:abstractNumId w:val="5"/>
  </w:num>
  <w:num w:numId="10">
    <w:abstractNumId w:val="9"/>
  </w:num>
  <w:num w:numId="11">
    <w:abstractNumId w:val="2"/>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characterSpacingControl w:val="doNotCompress"/>
  <w:hdrShapeDefaults>
    <o:shapedefaults v:ext="edit" spidmax="25602"/>
  </w:hdrShapeDefaults>
  <w:footnotePr>
    <w:footnote w:id="-1"/>
    <w:footnote w:id="0"/>
  </w:footnotePr>
  <w:endnotePr>
    <w:endnote w:id="-1"/>
    <w:endnote w:id="0"/>
  </w:endnotePr>
  <w:compat/>
  <w:rsids>
    <w:rsidRoot w:val="00B323B0"/>
    <w:rsid w:val="001534EF"/>
    <w:rsid w:val="001551D7"/>
    <w:rsid w:val="001E380C"/>
    <w:rsid w:val="00260F4A"/>
    <w:rsid w:val="00310222"/>
    <w:rsid w:val="00330BB5"/>
    <w:rsid w:val="00335B33"/>
    <w:rsid w:val="003A01C9"/>
    <w:rsid w:val="0044691D"/>
    <w:rsid w:val="004C277E"/>
    <w:rsid w:val="00647820"/>
    <w:rsid w:val="00744E26"/>
    <w:rsid w:val="00746E01"/>
    <w:rsid w:val="007E06D7"/>
    <w:rsid w:val="007F6947"/>
    <w:rsid w:val="008463B3"/>
    <w:rsid w:val="008952FD"/>
    <w:rsid w:val="008B6195"/>
    <w:rsid w:val="00970C26"/>
    <w:rsid w:val="00994263"/>
    <w:rsid w:val="00995001"/>
    <w:rsid w:val="009F2FF4"/>
    <w:rsid w:val="00A14D72"/>
    <w:rsid w:val="00A32312"/>
    <w:rsid w:val="00AC31B7"/>
    <w:rsid w:val="00AC5F10"/>
    <w:rsid w:val="00B323B0"/>
    <w:rsid w:val="00B901F8"/>
    <w:rsid w:val="00BC2697"/>
    <w:rsid w:val="00C16750"/>
    <w:rsid w:val="00C86CEF"/>
    <w:rsid w:val="00CB02B0"/>
    <w:rsid w:val="00CC677D"/>
    <w:rsid w:val="00D61C53"/>
    <w:rsid w:val="00D9159B"/>
    <w:rsid w:val="00DF798D"/>
    <w:rsid w:val="00F05E02"/>
    <w:rsid w:val="00F1559A"/>
    <w:rsid w:val="00F91173"/>
    <w:rsid w:val="00FA3537"/>
    <w:rsid w:val="00FD3C73"/>
    <w:rsid w:val="00FF081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3A01C9"/>
    <w:pPr>
      <w:ind w:left="720"/>
      <w:contextualSpacing/>
    </w:pPr>
  </w:style>
  <w:style w:type="paragraph" w:styleId="Header">
    <w:name w:val="header"/>
    <w:basedOn w:val="Normal"/>
    <w:link w:val="HeaderChar"/>
    <w:unhideWhenUsed/>
    <w:rsid w:val="00F91173"/>
    <w:pPr>
      <w:tabs>
        <w:tab w:val="center" w:pos="4680"/>
        <w:tab w:val="right" w:pos="9360"/>
      </w:tabs>
    </w:pPr>
  </w:style>
  <w:style w:type="character" w:customStyle="1" w:styleId="HeaderChar">
    <w:name w:val="Header Char"/>
    <w:basedOn w:val="DefaultParagraphFont"/>
    <w:link w:val="Header"/>
    <w:rsid w:val="00F91173"/>
  </w:style>
  <w:style w:type="paragraph" w:styleId="Footer">
    <w:name w:val="footer"/>
    <w:basedOn w:val="Normal"/>
    <w:link w:val="FooterChar"/>
    <w:uiPriority w:val="99"/>
    <w:unhideWhenUsed/>
    <w:rsid w:val="00F91173"/>
    <w:pPr>
      <w:tabs>
        <w:tab w:val="center" w:pos="4680"/>
        <w:tab w:val="right" w:pos="9360"/>
      </w:tabs>
    </w:pPr>
  </w:style>
  <w:style w:type="character" w:customStyle="1" w:styleId="FooterChar">
    <w:name w:val="Footer Char"/>
    <w:basedOn w:val="DefaultParagraphFont"/>
    <w:link w:val="Footer"/>
    <w:uiPriority w:val="99"/>
    <w:rsid w:val="00F91173"/>
  </w:style>
  <w:style w:type="paragraph" w:styleId="BalloonText">
    <w:name w:val="Balloon Text"/>
    <w:basedOn w:val="Normal"/>
    <w:link w:val="BalloonTextChar"/>
    <w:uiPriority w:val="99"/>
    <w:semiHidden/>
    <w:unhideWhenUsed/>
    <w:rsid w:val="00A32312"/>
    <w:rPr>
      <w:rFonts w:ascii="Tahoma" w:hAnsi="Tahoma" w:cs="Tahoma"/>
      <w:sz w:val="16"/>
      <w:szCs w:val="16"/>
    </w:rPr>
  </w:style>
  <w:style w:type="character" w:customStyle="1" w:styleId="BalloonTextChar">
    <w:name w:val="Balloon Text Char"/>
    <w:basedOn w:val="DefaultParagraphFont"/>
    <w:link w:val="BalloonText"/>
    <w:uiPriority w:val="99"/>
    <w:semiHidden/>
    <w:rsid w:val="00A32312"/>
    <w:rPr>
      <w:rFonts w:ascii="Tahoma" w:hAnsi="Tahoma" w:cs="Tahoma"/>
      <w:sz w:val="16"/>
      <w:szCs w:val="16"/>
    </w:rPr>
  </w:style>
  <w:style w:type="paragraph" w:styleId="NoSpacing">
    <w:name w:val="No Spacing"/>
    <w:basedOn w:val="Normal"/>
    <w:link w:val="NoSpacingChar"/>
    <w:uiPriority w:val="1"/>
    <w:qFormat/>
    <w:rsid w:val="00FA3537"/>
    <w:rPr>
      <w:rFonts w:asciiTheme="minorHAnsi" w:eastAsiaTheme="minorHAnsi" w:hAnsiTheme="minorHAnsi" w:cstheme="minorBidi"/>
      <w:sz w:val="22"/>
      <w:szCs w:val="22"/>
      <w:lang w:bidi="en-US"/>
    </w:rPr>
  </w:style>
  <w:style w:type="character" w:customStyle="1" w:styleId="NoSpacingChar">
    <w:name w:val="No Spacing Char"/>
    <w:basedOn w:val="DefaultParagraphFont"/>
    <w:link w:val="NoSpacing"/>
    <w:uiPriority w:val="1"/>
    <w:rsid w:val="00FA3537"/>
    <w:rPr>
      <w:rFonts w:asciiTheme="minorHAnsi" w:eastAsiaTheme="minorHAnsi" w:hAnsiTheme="minorHAnsi" w:cstheme="minorBidi"/>
      <w:sz w:val="22"/>
      <w:szCs w:val="22"/>
      <w:lang w:bidi="en-US"/>
    </w:rPr>
  </w:style>
  <w:style w:type="character" w:styleId="Hyperlink">
    <w:name w:val="Hyperlink"/>
    <w:basedOn w:val="DefaultParagraphFont"/>
    <w:uiPriority w:val="99"/>
    <w:unhideWhenUsed/>
    <w:rsid w:val="00744E26"/>
    <w:rPr>
      <w:color w:val="0000FF"/>
      <w:u w:val="single"/>
    </w:rPr>
  </w:style>
  <w:style w:type="character" w:customStyle="1" w:styleId="ListParagraphChar">
    <w:name w:val="List Paragraph Char"/>
    <w:basedOn w:val="DefaultParagraphFont"/>
    <w:link w:val="ListParagraph"/>
    <w:uiPriority w:val="34"/>
    <w:locked/>
    <w:rsid w:val="00744E26"/>
  </w:style>
  <w:style w:type="character" w:customStyle="1" w:styleId="SubStyle1Char">
    <w:name w:val="SubStyle1 Char"/>
    <w:basedOn w:val="DefaultParagraphFont"/>
    <w:link w:val="SubStyle1"/>
    <w:locked/>
    <w:rsid w:val="00744E26"/>
    <w:rPr>
      <w:rFonts w:eastAsia="Calibri"/>
      <w:b/>
      <w:color w:val="1D1B11" w:themeColor="background2" w:themeShade="1A"/>
      <w:szCs w:val="24"/>
      <w:lang w:val="id-ID"/>
    </w:rPr>
  </w:style>
  <w:style w:type="paragraph" w:customStyle="1" w:styleId="SubStyle1">
    <w:name w:val="SubStyle1"/>
    <w:basedOn w:val="Normal"/>
    <w:link w:val="SubStyle1Char"/>
    <w:autoRedefine/>
    <w:qFormat/>
    <w:rsid w:val="00744E26"/>
    <w:pPr>
      <w:spacing w:after="120"/>
      <w:ind w:left="540"/>
      <w:contextualSpacing/>
    </w:pPr>
    <w:rPr>
      <w:rFonts w:eastAsia="Calibri"/>
      <w:b/>
      <w:color w:val="1D1B11" w:themeColor="background2" w:themeShade="1A"/>
      <w:szCs w:val="24"/>
      <w:lang w:val="id-ID"/>
    </w:rPr>
  </w:style>
  <w:style w:type="paragraph" w:customStyle="1" w:styleId="Default">
    <w:name w:val="Default"/>
    <w:rsid w:val="00744E26"/>
    <w:pPr>
      <w:autoSpaceDE w:val="0"/>
      <w:autoSpaceDN w:val="0"/>
      <w:adjustRightInd w:val="0"/>
    </w:pPr>
    <w:rPr>
      <w:rFonts w:eastAsiaTheme="minorHAnsi"/>
      <w:color w:val="000000"/>
      <w:sz w:val="24"/>
      <w:szCs w:val="24"/>
      <w:lang w:val="id-ID"/>
    </w:rPr>
  </w:style>
  <w:style w:type="paragraph" w:styleId="Bibliography">
    <w:name w:val="Bibliography"/>
    <w:basedOn w:val="Normal"/>
    <w:next w:val="Normal"/>
    <w:uiPriority w:val="37"/>
    <w:unhideWhenUsed/>
    <w:rsid w:val="00744E26"/>
    <w:pPr>
      <w:spacing w:after="160" w:line="259" w:lineRule="auto"/>
    </w:pPr>
    <w:rPr>
      <w:rFonts w:asciiTheme="minorHAnsi" w:eastAsiaTheme="minorHAnsi" w:hAnsiTheme="minorHAnsi" w:cstheme="minorBidi"/>
      <w:sz w:val="22"/>
      <w:szCs w:val="22"/>
    </w:rPr>
  </w:style>
  <w:style w:type="table" w:styleId="TableGrid">
    <w:name w:val="Table Grid"/>
    <w:basedOn w:val="TableNormal"/>
    <w:uiPriority w:val="59"/>
    <w:rsid w:val="00744E26"/>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44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A01C9"/>
    <w:pPr>
      <w:ind w:left="720"/>
      <w:contextualSpacing/>
    </w:pPr>
  </w:style>
  <w:style w:type="paragraph" w:styleId="Header">
    <w:name w:val="header"/>
    <w:basedOn w:val="Normal"/>
    <w:link w:val="HeaderChar"/>
    <w:unhideWhenUsed/>
    <w:rsid w:val="00F91173"/>
    <w:pPr>
      <w:tabs>
        <w:tab w:val="center" w:pos="4680"/>
        <w:tab w:val="right" w:pos="9360"/>
      </w:tabs>
    </w:pPr>
  </w:style>
  <w:style w:type="character" w:customStyle="1" w:styleId="HeaderChar">
    <w:name w:val="Header Char"/>
    <w:basedOn w:val="DefaultParagraphFont"/>
    <w:link w:val="Header"/>
    <w:rsid w:val="00F91173"/>
  </w:style>
  <w:style w:type="paragraph" w:styleId="Footer">
    <w:name w:val="footer"/>
    <w:basedOn w:val="Normal"/>
    <w:link w:val="FooterChar"/>
    <w:uiPriority w:val="99"/>
    <w:unhideWhenUsed/>
    <w:rsid w:val="00F91173"/>
    <w:pPr>
      <w:tabs>
        <w:tab w:val="center" w:pos="4680"/>
        <w:tab w:val="right" w:pos="9360"/>
      </w:tabs>
    </w:pPr>
  </w:style>
  <w:style w:type="character" w:customStyle="1" w:styleId="FooterChar">
    <w:name w:val="Footer Char"/>
    <w:basedOn w:val="DefaultParagraphFont"/>
    <w:link w:val="Footer"/>
    <w:uiPriority w:val="99"/>
    <w:rsid w:val="00F91173"/>
  </w:style>
  <w:style w:type="paragraph" w:styleId="BalloonText">
    <w:name w:val="Balloon Text"/>
    <w:basedOn w:val="Normal"/>
    <w:link w:val="BalloonTextChar"/>
    <w:uiPriority w:val="99"/>
    <w:semiHidden/>
    <w:unhideWhenUsed/>
    <w:rsid w:val="00A32312"/>
    <w:rPr>
      <w:rFonts w:ascii="Tahoma" w:hAnsi="Tahoma" w:cs="Tahoma"/>
      <w:sz w:val="16"/>
      <w:szCs w:val="16"/>
    </w:rPr>
  </w:style>
  <w:style w:type="character" w:customStyle="1" w:styleId="BalloonTextChar">
    <w:name w:val="Balloon Text Char"/>
    <w:basedOn w:val="DefaultParagraphFont"/>
    <w:link w:val="BalloonText"/>
    <w:uiPriority w:val="99"/>
    <w:semiHidden/>
    <w:rsid w:val="00A323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mbunuhindonesia.net/2015/10/kejahatan-keuangan-di-sektor-pertambang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auonline.co.id/riau/kota-pekanbaru/read/2018/05/17/3-perusahaan-batu-bara-di-inhil-disebut-kemplang-pajak-negara-rugi-rp5-mili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rmolbabel.com/read/2017/12/20/5094/Fantastis!-Rp328-M-Pajak-IUP-Non-NPWP-Perusahaan-Tambang-Tertunggak-"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ediaindonesia.com/read/detail/105080-banyak-perusahaan-minerba-dan-sawit-kemplang-pa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8F644-D5B5-474C-AEDE-595A4C87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Bowo LPPM</dc:creator>
  <cp:lastModifiedBy>cielokz</cp:lastModifiedBy>
  <cp:revision>10</cp:revision>
  <cp:lastPrinted>2018-04-06T03:49:00Z</cp:lastPrinted>
  <dcterms:created xsi:type="dcterms:W3CDTF">2019-04-26T04:18:00Z</dcterms:created>
  <dcterms:modified xsi:type="dcterms:W3CDTF">2019-07-02T08:56:00Z</dcterms:modified>
</cp:coreProperties>
</file>